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D15C36" w14:textId="77777777" w:rsidR="00634283" w:rsidRPr="00634283" w:rsidRDefault="00634283" w:rsidP="00634283">
      <w:pPr>
        <w:spacing w:after="160" w:line="259" w:lineRule="auto"/>
        <w:rPr>
          <w:rFonts w:ascii="Calibri" w:eastAsia="Calibri" w:hAnsi="Calibri" w:cs="Times New Roman"/>
          <w:b/>
          <w:sz w:val="22"/>
          <w:szCs w:val="22"/>
        </w:rPr>
      </w:pPr>
      <w:bookmarkStart w:id="0" w:name="_GoBack"/>
      <w:bookmarkEnd w:id="0"/>
      <w:r w:rsidRPr="00634283">
        <w:rPr>
          <w:rFonts w:ascii="Calibri" w:eastAsia="Calibri" w:hAnsi="Calibri" w:cs="Times New Roman"/>
          <w:b/>
          <w:sz w:val="22"/>
          <w:szCs w:val="22"/>
        </w:rPr>
        <w:t>Finding solutions to meet the world’s changing resources and energy needs</w:t>
      </w:r>
    </w:p>
    <w:p w14:paraId="27CB3F90" w14:textId="77777777" w:rsidR="00634283" w:rsidRPr="00634283" w:rsidRDefault="00634283" w:rsidP="00634283">
      <w:pPr>
        <w:spacing w:after="160" w:line="259" w:lineRule="auto"/>
        <w:rPr>
          <w:rFonts w:ascii="Calibri" w:eastAsia="Calibri" w:hAnsi="Calibri" w:cs="Times New Roman"/>
          <w:sz w:val="22"/>
          <w:szCs w:val="22"/>
        </w:rPr>
      </w:pPr>
    </w:p>
    <w:p w14:paraId="3B5236C7" w14:textId="77777777" w:rsidR="00634283" w:rsidRPr="00634283" w:rsidRDefault="00634283" w:rsidP="00634283">
      <w:pPr>
        <w:spacing w:after="160" w:line="259" w:lineRule="auto"/>
        <w:rPr>
          <w:rFonts w:ascii="Calibri" w:eastAsia="Calibri" w:hAnsi="Calibri" w:cs="Times New Roman"/>
          <w:sz w:val="22"/>
          <w:szCs w:val="22"/>
        </w:rPr>
      </w:pPr>
      <w:r w:rsidRPr="00634283">
        <w:rPr>
          <w:rFonts w:ascii="Calibri" w:eastAsia="Calibri" w:hAnsi="Calibri" w:cs="Times New Roman"/>
          <w:sz w:val="22"/>
          <w:szCs w:val="22"/>
        </w:rPr>
        <w:t>Social writer Eric Hoffer wrote “In times of change, learners inherit the earth, while the learned find themselves beautifully equipped to deal with a world that no longer exists”, a quote that resonates with Denver Dreyer, CEO of WorleyParsons RSA.  As a company that helps customers meet the world’s changing resources and energy needs, WorleyParsons understands the need for agility and developing new solutions to ever-changing challenges. The company delivers projects and provides expertise in engineering, procurement and construction management across the full asset lifecycle in the hydrocarbons, infrastructure, minerals, metals and chemicals sectors.</w:t>
      </w:r>
    </w:p>
    <w:p w14:paraId="5C0C445C" w14:textId="77777777" w:rsidR="00634283" w:rsidRPr="00634283" w:rsidRDefault="00634283" w:rsidP="00634283">
      <w:pPr>
        <w:spacing w:after="160" w:line="259" w:lineRule="auto"/>
        <w:rPr>
          <w:rFonts w:ascii="Calibri" w:eastAsia="Calibri" w:hAnsi="Calibri" w:cs="Times New Roman"/>
          <w:sz w:val="22"/>
          <w:szCs w:val="22"/>
        </w:rPr>
      </w:pPr>
    </w:p>
    <w:p w14:paraId="5DA775FB" w14:textId="77777777" w:rsidR="00634283" w:rsidRPr="00634283" w:rsidRDefault="00634283" w:rsidP="00634283">
      <w:pPr>
        <w:spacing w:after="160" w:line="259" w:lineRule="auto"/>
        <w:rPr>
          <w:rFonts w:ascii="Calibri" w:eastAsia="Calibri" w:hAnsi="Calibri" w:cs="Times New Roman"/>
          <w:sz w:val="22"/>
          <w:szCs w:val="22"/>
        </w:rPr>
      </w:pPr>
      <w:r w:rsidRPr="00634283">
        <w:rPr>
          <w:rFonts w:ascii="Calibri" w:eastAsia="Calibri" w:hAnsi="Calibri" w:cs="Times New Roman"/>
          <w:sz w:val="22"/>
          <w:szCs w:val="22"/>
        </w:rPr>
        <w:t xml:space="preserve">Operating in a global environment that is leaner and fitter than it has ever been, with customers seeking ways to deliver more with less, Dreyer says that WorleyParsons RSA is focusing on finding cost-effective and innovative solutions to address the current challenges facing the mining sector. A key focus is on assisting emerging miners to access funding for their mining projects by helping to develop their studies to a point where obtaining funding is easier. </w:t>
      </w:r>
    </w:p>
    <w:p w14:paraId="7C6601FC" w14:textId="77777777" w:rsidR="00634283" w:rsidRPr="00634283" w:rsidRDefault="00634283" w:rsidP="00634283">
      <w:pPr>
        <w:spacing w:after="160" w:line="259" w:lineRule="auto"/>
        <w:rPr>
          <w:rFonts w:ascii="Calibri" w:eastAsia="Calibri" w:hAnsi="Calibri" w:cs="Times New Roman"/>
          <w:sz w:val="22"/>
          <w:szCs w:val="22"/>
        </w:rPr>
      </w:pPr>
    </w:p>
    <w:p w14:paraId="70671EA6" w14:textId="77777777" w:rsidR="00634283" w:rsidRPr="00634283" w:rsidRDefault="00634283" w:rsidP="00634283">
      <w:pPr>
        <w:spacing w:after="160" w:line="259" w:lineRule="auto"/>
        <w:rPr>
          <w:rFonts w:ascii="Calibri" w:eastAsia="Calibri" w:hAnsi="Calibri" w:cs="Times New Roman"/>
          <w:sz w:val="22"/>
          <w:szCs w:val="22"/>
        </w:rPr>
      </w:pPr>
      <w:r w:rsidRPr="00634283">
        <w:rPr>
          <w:rFonts w:ascii="Calibri" w:eastAsia="Calibri" w:hAnsi="Calibri" w:cs="Times New Roman"/>
          <w:sz w:val="22"/>
          <w:szCs w:val="22"/>
        </w:rPr>
        <w:t xml:space="preserve">Developed by Advisian, a WorleyParsons global business providing management and strategic advisory services, </w:t>
      </w:r>
      <w:r w:rsidRPr="00634283">
        <w:rPr>
          <w:rFonts w:ascii="Calibri" w:eastAsia="Calibri" w:hAnsi="Calibri" w:cs="Times New Roman"/>
          <w:b/>
          <w:sz w:val="22"/>
          <w:szCs w:val="22"/>
        </w:rPr>
        <w:t>StepWise</w:t>
      </w:r>
      <w:r w:rsidRPr="00634283">
        <w:rPr>
          <w:rFonts w:ascii="Calibri" w:eastAsia="Calibri" w:hAnsi="Calibri" w:cs="Times New Roman"/>
          <w:sz w:val="22"/>
          <w:szCs w:val="22"/>
        </w:rPr>
        <w:t xml:space="preserve"> is a low-cost financial and technical process model that enables emerging miners, as well as Tier 1 companies, to evaluate a resource and identify risks upfront. “In a world of constrained capital, companies seek maximum return on investment, and the unique StepWise process very quickly and cost-effectively identifies whether or not an ore body or any other type of resource project will be viable or feasible,” says Dreyer. He explains that the methodology enables a significant number of options to be tested in a short period of time to determine the optimal outcome to pursue given the constraints. The StepWise process provides solid data to enable prospective funders to make strategic investment decisions, with a focus on maximising returns, while minimising and managing exposure to risk.</w:t>
      </w:r>
    </w:p>
    <w:p w14:paraId="3F0FBB1E" w14:textId="77777777" w:rsidR="00634283" w:rsidRPr="00634283" w:rsidRDefault="00634283" w:rsidP="00634283">
      <w:pPr>
        <w:spacing w:after="160" w:line="259" w:lineRule="auto"/>
        <w:rPr>
          <w:rFonts w:ascii="Calibri" w:eastAsia="Calibri" w:hAnsi="Calibri" w:cs="Times New Roman"/>
          <w:sz w:val="22"/>
          <w:szCs w:val="22"/>
        </w:rPr>
      </w:pPr>
    </w:p>
    <w:p w14:paraId="598A4EA1" w14:textId="77777777" w:rsidR="00634283" w:rsidRPr="00634283" w:rsidRDefault="00634283" w:rsidP="00634283">
      <w:pPr>
        <w:spacing w:after="160" w:line="259" w:lineRule="auto"/>
        <w:rPr>
          <w:rFonts w:ascii="Calibri" w:eastAsia="Calibri" w:hAnsi="Calibri" w:cs="Times New Roman"/>
          <w:sz w:val="22"/>
          <w:szCs w:val="22"/>
        </w:rPr>
      </w:pPr>
      <w:r w:rsidRPr="00634283">
        <w:rPr>
          <w:rFonts w:ascii="Calibri" w:eastAsia="Calibri" w:hAnsi="Calibri" w:cs="Times New Roman"/>
          <w:sz w:val="22"/>
          <w:szCs w:val="22"/>
        </w:rPr>
        <w:t xml:space="preserve">While technology in the mining sector has remained relatively static over the last few decades, WorleyParsons has been cultivating a culture of innovation. Locally the company has been integrating latest developments in design and computing to create innovative tools that improve efficiencies and reduce risk in mining projects. WorleyParsons RSA began developing its </w:t>
      </w:r>
      <w:r w:rsidRPr="00634283">
        <w:rPr>
          <w:rFonts w:ascii="Calibri" w:eastAsia="Calibri" w:hAnsi="Calibri" w:cs="Times New Roman"/>
          <w:b/>
          <w:sz w:val="22"/>
          <w:szCs w:val="22"/>
        </w:rPr>
        <w:t>integrated design project platform</w:t>
      </w:r>
      <w:r w:rsidRPr="00634283">
        <w:rPr>
          <w:rFonts w:ascii="Calibri" w:eastAsia="Calibri" w:hAnsi="Calibri" w:cs="Times New Roman"/>
          <w:sz w:val="22"/>
          <w:szCs w:val="22"/>
        </w:rPr>
        <w:t xml:space="preserve"> over six years ago, by integrating 3D intelligent design data mapping with over 20 different engineering design processes and programmes to create a visual 5D design scope that incorporates schedule and cost. The 5D integrated project design platform presents miners with the ability to look pre-emptively forward and create a scenario plan for their project, and engage in the right discussions with prospective shareholders. </w:t>
      </w:r>
    </w:p>
    <w:p w14:paraId="29F76370" w14:textId="77777777" w:rsidR="00634283" w:rsidRPr="00634283" w:rsidRDefault="00634283" w:rsidP="00634283">
      <w:pPr>
        <w:spacing w:after="160" w:line="259" w:lineRule="auto"/>
        <w:rPr>
          <w:rFonts w:ascii="Calibri" w:eastAsia="Calibri" w:hAnsi="Calibri" w:cs="Times New Roman"/>
          <w:sz w:val="22"/>
          <w:szCs w:val="22"/>
        </w:rPr>
      </w:pPr>
    </w:p>
    <w:p w14:paraId="12AE7736" w14:textId="77777777" w:rsidR="00634283" w:rsidRPr="00634283" w:rsidRDefault="00634283" w:rsidP="00634283">
      <w:pPr>
        <w:spacing w:after="160" w:line="259" w:lineRule="auto"/>
        <w:rPr>
          <w:rFonts w:ascii="Calibri" w:eastAsia="Calibri" w:hAnsi="Calibri" w:cs="Times New Roman"/>
          <w:sz w:val="22"/>
          <w:szCs w:val="22"/>
        </w:rPr>
      </w:pPr>
      <w:r w:rsidRPr="00634283">
        <w:rPr>
          <w:rFonts w:ascii="Calibri" w:eastAsia="Calibri" w:hAnsi="Calibri" w:cs="Times New Roman"/>
          <w:sz w:val="22"/>
          <w:szCs w:val="22"/>
        </w:rPr>
        <w:t xml:space="preserve">A recent development at WorleyParsons RSA which aims to provide highly skilled resources to the table in a cost-effective way is the </w:t>
      </w:r>
      <w:r w:rsidRPr="00634283">
        <w:rPr>
          <w:rFonts w:ascii="Calibri" w:eastAsia="Calibri" w:hAnsi="Calibri" w:cs="Times New Roman"/>
          <w:b/>
          <w:sz w:val="22"/>
          <w:szCs w:val="22"/>
        </w:rPr>
        <w:t>Extended Consultant Programme</w:t>
      </w:r>
      <w:r w:rsidRPr="00634283">
        <w:rPr>
          <w:rFonts w:ascii="Calibri" w:eastAsia="Calibri" w:hAnsi="Calibri" w:cs="Times New Roman"/>
          <w:sz w:val="22"/>
          <w:szCs w:val="22"/>
        </w:rPr>
        <w:t xml:space="preserve"> (ECP). With access to subject matter experts on a contract basis, WorleyParsons is able to broaden its skill base across the African location and tap into years of specialised expertise and experience cost-effectively when required. </w:t>
      </w:r>
    </w:p>
    <w:p w14:paraId="4A201CF2" w14:textId="77777777" w:rsidR="00634283" w:rsidRPr="00634283" w:rsidRDefault="00634283" w:rsidP="00634283">
      <w:pPr>
        <w:spacing w:after="160" w:line="259" w:lineRule="auto"/>
        <w:rPr>
          <w:rFonts w:ascii="Calibri" w:eastAsia="Calibri" w:hAnsi="Calibri" w:cs="Times New Roman"/>
          <w:sz w:val="22"/>
          <w:szCs w:val="22"/>
        </w:rPr>
      </w:pPr>
    </w:p>
    <w:p w14:paraId="4D0350F2" w14:textId="77777777" w:rsidR="00634283" w:rsidRPr="00634283" w:rsidRDefault="00634283" w:rsidP="00634283">
      <w:pPr>
        <w:spacing w:after="160" w:line="259" w:lineRule="auto"/>
        <w:rPr>
          <w:rFonts w:ascii="Calibri" w:eastAsia="Calibri" w:hAnsi="Calibri" w:cs="Times New Roman"/>
          <w:sz w:val="22"/>
          <w:szCs w:val="22"/>
        </w:rPr>
      </w:pPr>
      <w:r w:rsidRPr="00634283">
        <w:rPr>
          <w:rFonts w:ascii="Calibri" w:eastAsia="Calibri" w:hAnsi="Calibri" w:cs="Times New Roman"/>
          <w:sz w:val="22"/>
          <w:szCs w:val="22"/>
        </w:rPr>
        <w:t xml:space="preserve">Locally, transformation in the industry is a priority for service providers such as WorleyParsons. “Traditional markets are changing and service providers have to be proactive or else be at risk of becoming obsolete. As part of our unwavering commitment to transformation, we are leading this agenda in engineering across all sectors in South Africa,” says Dreyer. “We have identified and partnered with sustainable, empowered businesses that are capable of growing with us. As part of our </w:t>
      </w:r>
      <w:r w:rsidRPr="00634283">
        <w:rPr>
          <w:rFonts w:ascii="Calibri" w:eastAsia="Calibri" w:hAnsi="Calibri" w:cs="Times New Roman"/>
          <w:b/>
          <w:sz w:val="22"/>
          <w:szCs w:val="22"/>
        </w:rPr>
        <w:t>Enterprise Supplier Development (ESD) programme</w:t>
      </w:r>
      <w:r w:rsidRPr="00634283">
        <w:rPr>
          <w:rFonts w:ascii="Calibri" w:eastAsia="Calibri" w:hAnsi="Calibri" w:cs="Times New Roman"/>
          <w:sz w:val="22"/>
          <w:szCs w:val="22"/>
        </w:rPr>
        <w:t xml:space="preserve"> we are collaborating with SMEs to jointly deliver services in the mining, water, energy and infrastructure sectors. The partnerships that we are creating are mutually beneficial. We will evaluate the strengths that each party brings to the table and identify where we can help each other. These enterprises will benefit from skills transfer and gain an understanding of how to successfully deliver bigger projects with our support, while we do our part to transform the engineering sector in South Africa,” says Dreyer. </w:t>
      </w:r>
    </w:p>
    <w:p w14:paraId="1345365F" w14:textId="77777777" w:rsidR="00634283" w:rsidRPr="00634283" w:rsidRDefault="00634283" w:rsidP="00634283">
      <w:pPr>
        <w:spacing w:after="160" w:line="259" w:lineRule="auto"/>
        <w:rPr>
          <w:rFonts w:ascii="Calibri" w:eastAsia="Calibri" w:hAnsi="Calibri" w:cs="Times New Roman"/>
          <w:sz w:val="22"/>
          <w:szCs w:val="22"/>
        </w:rPr>
      </w:pPr>
    </w:p>
    <w:p w14:paraId="6143A7E9" w14:textId="77777777" w:rsidR="00634283" w:rsidRPr="00634283" w:rsidRDefault="00634283" w:rsidP="00634283">
      <w:pPr>
        <w:spacing w:after="160" w:line="259" w:lineRule="auto"/>
        <w:rPr>
          <w:rFonts w:ascii="Calibri" w:eastAsia="Calibri" w:hAnsi="Calibri" w:cs="Times New Roman"/>
          <w:sz w:val="22"/>
          <w:szCs w:val="22"/>
        </w:rPr>
      </w:pPr>
      <w:r w:rsidRPr="00634283">
        <w:rPr>
          <w:rFonts w:ascii="Calibri" w:eastAsia="Calibri" w:hAnsi="Calibri" w:cs="Times New Roman"/>
          <w:sz w:val="22"/>
          <w:szCs w:val="22"/>
        </w:rPr>
        <w:t xml:space="preserve">The company also recently hosted the Supplier Grow Conference (in collaboration with South32) aimed at tackling the issues of access to the market for SMEs, and identifying opportunities and innovation in the mining and construction sector with transformation in mind. “The conference provided a forum for discussing the challenges that mining companies and SMEs are facing today. Through our activities such as this conference, we are committed to co-creating a future for all players in the sector and finding solutions to overcome the challenges jointly as an industry,” concludes Dreyer. </w:t>
      </w:r>
    </w:p>
    <w:p w14:paraId="7B8D87D5" w14:textId="77777777" w:rsidR="00836F8C" w:rsidRPr="0000679D" w:rsidRDefault="00836F8C" w:rsidP="00A332DC">
      <w:pPr>
        <w:autoSpaceDE w:val="0"/>
        <w:autoSpaceDN w:val="0"/>
        <w:adjustRightInd w:val="0"/>
        <w:spacing w:after="160" w:line="360" w:lineRule="auto"/>
        <w:rPr>
          <w:rFonts w:ascii="Calibri" w:hAnsi="Calibri"/>
          <w:bCs/>
          <w:sz w:val="22"/>
          <w:szCs w:val="22"/>
        </w:rPr>
      </w:pPr>
    </w:p>
    <w:p w14:paraId="7FA0EFAF" w14:textId="77777777" w:rsidR="00323801" w:rsidRPr="00634283" w:rsidRDefault="00323801" w:rsidP="006B6216">
      <w:pPr>
        <w:autoSpaceDE w:val="0"/>
        <w:autoSpaceDN w:val="0"/>
        <w:adjustRightInd w:val="0"/>
        <w:spacing w:after="160" w:line="360" w:lineRule="auto"/>
        <w:rPr>
          <w:rFonts w:ascii="Calibri" w:hAnsi="Calibri"/>
          <w:bCs/>
          <w:sz w:val="18"/>
          <w:szCs w:val="18"/>
        </w:rPr>
      </w:pPr>
      <w:r w:rsidRPr="00634283">
        <w:rPr>
          <w:rFonts w:ascii="Calibri" w:hAnsi="Calibri"/>
          <w:bCs/>
          <w:sz w:val="18"/>
          <w:szCs w:val="18"/>
        </w:rPr>
        <w:t>Issued by:</w:t>
      </w:r>
      <w:r w:rsidRPr="00634283">
        <w:rPr>
          <w:rFonts w:ascii="Calibri" w:hAnsi="Calibri"/>
          <w:bCs/>
          <w:sz w:val="18"/>
          <w:szCs w:val="18"/>
        </w:rPr>
        <w:tab/>
      </w:r>
      <w:r w:rsidRPr="00634283">
        <w:rPr>
          <w:rFonts w:ascii="Calibri" w:hAnsi="Calibri"/>
          <w:bCs/>
          <w:sz w:val="18"/>
          <w:szCs w:val="18"/>
        </w:rPr>
        <w:tab/>
      </w:r>
      <w:r w:rsidRPr="00634283">
        <w:rPr>
          <w:rFonts w:ascii="Calibri" w:hAnsi="Calibri"/>
          <w:bCs/>
          <w:sz w:val="18"/>
          <w:szCs w:val="18"/>
        </w:rPr>
        <w:tab/>
        <w:t>Serendipity</w:t>
      </w:r>
      <w:r w:rsidR="003E0B97" w:rsidRPr="00634283">
        <w:rPr>
          <w:rFonts w:ascii="Calibri" w:hAnsi="Calibri"/>
          <w:bCs/>
          <w:sz w:val="18"/>
          <w:szCs w:val="18"/>
        </w:rPr>
        <w:t xml:space="preserve"> Events, Promotions &amp; Exhibitions</w:t>
      </w:r>
    </w:p>
    <w:p w14:paraId="5C180FC6" w14:textId="77777777" w:rsidR="003366BA" w:rsidRPr="00634283" w:rsidRDefault="00323801" w:rsidP="006B6216">
      <w:pPr>
        <w:autoSpaceDE w:val="0"/>
        <w:autoSpaceDN w:val="0"/>
        <w:adjustRightInd w:val="0"/>
        <w:spacing w:after="160" w:line="360" w:lineRule="auto"/>
        <w:rPr>
          <w:rFonts w:ascii="Calibri" w:hAnsi="Calibri"/>
          <w:bCs/>
          <w:sz w:val="18"/>
          <w:szCs w:val="18"/>
        </w:rPr>
      </w:pPr>
      <w:r w:rsidRPr="00634283">
        <w:rPr>
          <w:rFonts w:ascii="Calibri" w:hAnsi="Calibri"/>
          <w:bCs/>
          <w:sz w:val="18"/>
          <w:szCs w:val="18"/>
        </w:rPr>
        <w:t>On behalf of:</w:t>
      </w:r>
      <w:r w:rsidRPr="00634283">
        <w:rPr>
          <w:rFonts w:ascii="Calibri" w:hAnsi="Calibri"/>
          <w:bCs/>
          <w:sz w:val="18"/>
          <w:szCs w:val="18"/>
        </w:rPr>
        <w:tab/>
      </w:r>
      <w:r w:rsidR="003366BA" w:rsidRPr="00634283">
        <w:rPr>
          <w:rFonts w:ascii="Calibri" w:hAnsi="Calibri"/>
          <w:bCs/>
          <w:sz w:val="18"/>
          <w:szCs w:val="18"/>
        </w:rPr>
        <w:tab/>
      </w:r>
      <w:r w:rsidR="00A569E3" w:rsidRPr="00634283">
        <w:rPr>
          <w:rFonts w:ascii="Calibri" w:hAnsi="Calibri"/>
          <w:bCs/>
          <w:sz w:val="18"/>
          <w:szCs w:val="18"/>
        </w:rPr>
        <w:tab/>
        <w:t xml:space="preserve">WORLEYPARSONS </w:t>
      </w:r>
    </w:p>
    <w:p w14:paraId="2221FADE" w14:textId="77777777" w:rsidR="00323801" w:rsidRPr="00634283" w:rsidRDefault="00323801" w:rsidP="006B6216">
      <w:pPr>
        <w:autoSpaceDE w:val="0"/>
        <w:autoSpaceDN w:val="0"/>
        <w:adjustRightInd w:val="0"/>
        <w:spacing w:after="160" w:line="360" w:lineRule="auto"/>
        <w:rPr>
          <w:rFonts w:ascii="Calibri" w:hAnsi="Calibri"/>
          <w:bCs/>
          <w:sz w:val="18"/>
          <w:szCs w:val="18"/>
        </w:rPr>
      </w:pPr>
      <w:r w:rsidRPr="00634283">
        <w:rPr>
          <w:rFonts w:ascii="Calibri" w:hAnsi="Calibri"/>
          <w:bCs/>
          <w:sz w:val="18"/>
          <w:szCs w:val="18"/>
        </w:rPr>
        <w:t>Editorial contact:</w:t>
      </w:r>
      <w:r w:rsidRPr="00634283">
        <w:rPr>
          <w:rFonts w:ascii="Calibri" w:hAnsi="Calibri"/>
          <w:bCs/>
          <w:sz w:val="18"/>
          <w:szCs w:val="18"/>
        </w:rPr>
        <w:tab/>
      </w:r>
      <w:r w:rsidR="000A07DE" w:rsidRPr="00634283">
        <w:rPr>
          <w:rFonts w:ascii="Calibri" w:hAnsi="Calibri"/>
          <w:bCs/>
          <w:sz w:val="18"/>
          <w:szCs w:val="18"/>
        </w:rPr>
        <w:tab/>
      </w:r>
      <w:r w:rsidR="00634283">
        <w:rPr>
          <w:rFonts w:ascii="Calibri" w:hAnsi="Calibri"/>
          <w:bCs/>
          <w:sz w:val="18"/>
          <w:szCs w:val="18"/>
        </w:rPr>
        <w:tab/>
      </w:r>
      <w:r w:rsidR="00266247" w:rsidRPr="00634283">
        <w:rPr>
          <w:rFonts w:ascii="Calibri" w:hAnsi="Calibri"/>
          <w:bCs/>
          <w:sz w:val="18"/>
          <w:szCs w:val="18"/>
        </w:rPr>
        <w:t>Loll Thomson (011) 467 2133</w:t>
      </w:r>
    </w:p>
    <w:p w14:paraId="0CA1EB9F" w14:textId="77777777" w:rsidR="004611EF" w:rsidRPr="00634283" w:rsidRDefault="00323801" w:rsidP="006B6216">
      <w:pPr>
        <w:autoSpaceDE w:val="0"/>
        <w:autoSpaceDN w:val="0"/>
        <w:adjustRightInd w:val="0"/>
        <w:spacing w:after="160" w:line="360" w:lineRule="auto"/>
        <w:rPr>
          <w:rFonts w:ascii="Calibri" w:hAnsi="Calibri"/>
          <w:bCs/>
          <w:sz w:val="18"/>
          <w:szCs w:val="18"/>
        </w:rPr>
      </w:pPr>
      <w:r w:rsidRPr="00634283">
        <w:rPr>
          <w:rFonts w:ascii="Calibri" w:hAnsi="Calibri"/>
          <w:bCs/>
          <w:sz w:val="18"/>
          <w:szCs w:val="18"/>
        </w:rPr>
        <w:tab/>
      </w:r>
      <w:r w:rsidRPr="00634283">
        <w:rPr>
          <w:rFonts w:ascii="Calibri" w:hAnsi="Calibri"/>
          <w:bCs/>
          <w:sz w:val="18"/>
          <w:szCs w:val="18"/>
        </w:rPr>
        <w:tab/>
      </w:r>
      <w:r w:rsidRPr="00634283">
        <w:rPr>
          <w:rFonts w:ascii="Calibri" w:hAnsi="Calibri"/>
          <w:bCs/>
          <w:sz w:val="18"/>
          <w:szCs w:val="18"/>
        </w:rPr>
        <w:tab/>
      </w:r>
      <w:r w:rsidRPr="00634283">
        <w:rPr>
          <w:rFonts w:ascii="Calibri" w:hAnsi="Calibri"/>
          <w:bCs/>
          <w:sz w:val="18"/>
          <w:szCs w:val="18"/>
        </w:rPr>
        <w:tab/>
      </w:r>
      <w:r w:rsidR="00266247" w:rsidRPr="00634283">
        <w:rPr>
          <w:rFonts w:ascii="Calibri" w:hAnsi="Calibri"/>
          <w:bCs/>
          <w:sz w:val="18"/>
          <w:szCs w:val="18"/>
        </w:rPr>
        <w:t xml:space="preserve">Mail to: </w:t>
      </w:r>
      <w:hyperlink r:id="rId7" w:history="1">
        <w:r w:rsidR="00266247" w:rsidRPr="00634283">
          <w:rPr>
            <w:rStyle w:val="Hyperlink"/>
            <w:rFonts w:ascii="Calibri" w:hAnsi="Calibri"/>
            <w:bCs/>
            <w:sz w:val="18"/>
            <w:szCs w:val="18"/>
          </w:rPr>
          <w:t>loll@sepe.co.za</w:t>
        </w:r>
      </w:hyperlink>
    </w:p>
    <w:p w14:paraId="3AD8E57D" w14:textId="77777777" w:rsidR="00382960" w:rsidRPr="00634283" w:rsidRDefault="00323801" w:rsidP="006B6216">
      <w:pPr>
        <w:autoSpaceDE w:val="0"/>
        <w:autoSpaceDN w:val="0"/>
        <w:adjustRightInd w:val="0"/>
        <w:spacing w:after="160" w:line="360" w:lineRule="auto"/>
        <w:rPr>
          <w:rFonts w:ascii="Calibri" w:hAnsi="Calibri"/>
          <w:bCs/>
          <w:sz w:val="18"/>
          <w:szCs w:val="18"/>
          <w:lang w:val="en-ZA"/>
        </w:rPr>
      </w:pPr>
      <w:r w:rsidRPr="00634283">
        <w:rPr>
          <w:rFonts w:ascii="Calibri" w:hAnsi="Calibri"/>
          <w:bCs/>
          <w:sz w:val="18"/>
          <w:szCs w:val="18"/>
        </w:rPr>
        <w:t>Client contact:</w:t>
      </w:r>
      <w:r w:rsidRPr="00634283">
        <w:rPr>
          <w:rFonts w:ascii="Calibri" w:hAnsi="Calibri"/>
          <w:bCs/>
          <w:sz w:val="18"/>
          <w:szCs w:val="18"/>
        </w:rPr>
        <w:tab/>
      </w:r>
      <w:r w:rsidRPr="00634283">
        <w:rPr>
          <w:rFonts w:ascii="Calibri" w:hAnsi="Calibri"/>
          <w:bCs/>
          <w:sz w:val="18"/>
          <w:szCs w:val="18"/>
        </w:rPr>
        <w:tab/>
      </w:r>
      <w:r w:rsidR="003E0B97" w:rsidRPr="00634283">
        <w:rPr>
          <w:rFonts w:ascii="Calibri" w:hAnsi="Calibri"/>
          <w:bCs/>
          <w:sz w:val="18"/>
          <w:szCs w:val="18"/>
        </w:rPr>
        <w:tab/>
      </w:r>
    </w:p>
    <w:p w14:paraId="2DE8C520" w14:textId="77777777" w:rsidR="00A5149E" w:rsidRPr="00634283" w:rsidRDefault="00382960" w:rsidP="006B6216">
      <w:pPr>
        <w:autoSpaceDE w:val="0"/>
        <w:autoSpaceDN w:val="0"/>
        <w:adjustRightInd w:val="0"/>
        <w:spacing w:after="160" w:line="360" w:lineRule="auto"/>
        <w:rPr>
          <w:rFonts w:ascii="Calibri" w:hAnsi="Calibri"/>
          <w:bCs/>
          <w:sz w:val="18"/>
          <w:szCs w:val="18"/>
        </w:rPr>
      </w:pPr>
      <w:r w:rsidRPr="00634283">
        <w:rPr>
          <w:rFonts w:ascii="Calibri" w:hAnsi="Calibri"/>
          <w:bCs/>
          <w:sz w:val="18"/>
          <w:szCs w:val="18"/>
        </w:rPr>
        <w:tab/>
      </w:r>
      <w:r w:rsidRPr="00634283">
        <w:rPr>
          <w:rFonts w:ascii="Calibri" w:hAnsi="Calibri"/>
          <w:bCs/>
          <w:sz w:val="18"/>
          <w:szCs w:val="18"/>
        </w:rPr>
        <w:tab/>
      </w:r>
      <w:r w:rsidRPr="00634283">
        <w:rPr>
          <w:rFonts w:ascii="Calibri" w:hAnsi="Calibri"/>
          <w:bCs/>
          <w:sz w:val="18"/>
          <w:szCs w:val="18"/>
        </w:rPr>
        <w:tab/>
      </w:r>
      <w:r w:rsidRPr="00634283">
        <w:rPr>
          <w:rFonts w:ascii="Calibri" w:hAnsi="Calibri"/>
          <w:bCs/>
          <w:sz w:val="18"/>
          <w:szCs w:val="18"/>
        </w:rPr>
        <w:tab/>
      </w:r>
      <w:r w:rsidR="00836F8C" w:rsidRPr="00634283">
        <w:rPr>
          <w:rFonts w:ascii="Calibri" w:hAnsi="Calibri"/>
          <w:bCs/>
          <w:sz w:val="18"/>
          <w:szCs w:val="18"/>
        </w:rPr>
        <w:t xml:space="preserve">Mail to: </w:t>
      </w:r>
    </w:p>
    <w:p w14:paraId="55DF38DC" w14:textId="77777777" w:rsidR="004611EF" w:rsidRPr="00634283" w:rsidRDefault="00CF22F1" w:rsidP="006B6216">
      <w:pPr>
        <w:autoSpaceDE w:val="0"/>
        <w:autoSpaceDN w:val="0"/>
        <w:adjustRightInd w:val="0"/>
        <w:spacing w:after="160" w:line="360" w:lineRule="auto"/>
        <w:rPr>
          <w:rFonts w:ascii="Calibri" w:hAnsi="Calibri"/>
          <w:bCs/>
          <w:sz w:val="18"/>
          <w:szCs w:val="18"/>
        </w:rPr>
      </w:pPr>
      <w:r w:rsidRPr="00634283">
        <w:rPr>
          <w:rFonts w:ascii="Calibri" w:hAnsi="Calibri"/>
          <w:bCs/>
          <w:sz w:val="18"/>
          <w:szCs w:val="18"/>
        </w:rPr>
        <w:t>Date:</w:t>
      </w:r>
      <w:r w:rsidR="00EC3BB6" w:rsidRPr="00634283">
        <w:rPr>
          <w:rFonts w:ascii="Calibri" w:hAnsi="Calibri"/>
          <w:bCs/>
          <w:sz w:val="18"/>
          <w:szCs w:val="18"/>
        </w:rPr>
        <w:tab/>
      </w:r>
      <w:r w:rsidR="00EC3BB6" w:rsidRPr="00634283">
        <w:rPr>
          <w:rFonts w:ascii="Calibri" w:hAnsi="Calibri"/>
          <w:bCs/>
          <w:sz w:val="18"/>
          <w:szCs w:val="18"/>
        </w:rPr>
        <w:tab/>
      </w:r>
      <w:r w:rsidR="00EC3BB6" w:rsidRPr="00634283">
        <w:rPr>
          <w:rFonts w:ascii="Calibri" w:hAnsi="Calibri"/>
          <w:bCs/>
          <w:sz w:val="18"/>
          <w:szCs w:val="18"/>
        </w:rPr>
        <w:tab/>
      </w:r>
      <w:r w:rsidRPr="00634283">
        <w:rPr>
          <w:rFonts w:ascii="Calibri" w:hAnsi="Calibri"/>
          <w:bCs/>
          <w:sz w:val="18"/>
          <w:szCs w:val="18"/>
        </w:rPr>
        <w:tab/>
      </w:r>
      <w:r w:rsidRPr="00634283">
        <w:rPr>
          <w:rFonts w:ascii="Calibri" w:hAnsi="Calibri"/>
          <w:bCs/>
          <w:sz w:val="18"/>
          <w:szCs w:val="18"/>
        </w:rPr>
        <w:tab/>
      </w:r>
    </w:p>
    <w:sectPr w:rsidR="004611EF" w:rsidRPr="00634283" w:rsidSect="006B6216">
      <w:headerReference w:type="default" r:id="rId8"/>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CE9986" w14:textId="77777777" w:rsidR="000466A3" w:rsidRDefault="000466A3">
      <w:r>
        <w:separator/>
      </w:r>
    </w:p>
  </w:endnote>
  <w:endnote w:type="continuationSeparator" w:id="0">
    <w:p w14:paraId="78DD5A47" w14:textId="77777777" w:rsidR="000466A3" w:rsidRDefault="00046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LindeDaxPowerPoint">
    <w:panose1 w:val="00000000000000000000"/>
    <w:charset w:val="00"/>
    <w:family w:val="roman"/>
    <w:notTrueType/>
    <w:pitch w:val="default"/>
  </w:font>
  <w:font w:name="Arial Unicode MS">
    <w:panose1 w:val="020B0604020202020204"/>
    <w:charset w:val="00"/>
    <w:family w:val="auto"/>
    <w:pitch w:val="variable"/>
    <w:sig w:usb0="F7FFAFFF" w:usb1="E9DFFFFF" w:usb2="0000003F" w:usb3="00000000" w:csb0="003F01F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E727C4" w14:textId="77777777" w:rsidR="00330EC6" w:rsidRDefault="00330EC6">
    <w:pPr>
      <w:pStyle w:val="Footer"/>
      <w:rPr>
        <w:b/>
        <w:sz w:val="20"/>
        <w:szCs w:val="20"/>
      </w:rPr>
    </w:pPr>
    <w:r>
      <w:rPr>
        <w:b/>
        <w:sz w:val="20"/>
        <w:szCs w:val="20"/>
      </w:rPr>
      <w:tab/>
    </w:r>
    <w:r>
      <w:rPr>
        <w:b/>
        <w:sz w:val="20"/>
        <w:szCs w:val="20"/>
      </w:rPr>
      <w:tab/>
    </w:r>
    <w:r>
      <w:rPr>
        <w:b/>
        <w:sz w:val="20"/>
        <w:szCs w:val="20"/>
      </w:rPr>
      <w:tab/>
    </w:r>
    <w:r>
      <w:rPr>
        <w:b/>
        <w:sz w:val="20"/>
        <w:szCs w:val="20"/>
      </w:rPr>
      <w:tab/>
    </w:r>
    <w:r>
      <w:rPr>
        <w:b/>
        <w:sz w:val="20"/>
        <w:szCs w:val="20"/>
      </w:rPr>
      <w:tab/>
      <w:t xml:space="preserve">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59D3C1" w14:textId="77777777" w:rsidR="000466A3" w:rsidRDefault="000466A3">
      <w:r>
        <w:separator/>
      </w:r>
    </w:p>
  </w:footnote>
  <w:footnote w:type="continuationSeparator" w:id="0">
    <w:p w14:paraId="5BC1601F" w14:textId="77777777" w:rsidR="000466A3" w:rsidRDefault="000466A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ED97E1" w14:textId="77777777" w:rsidR="00330EC6" w:rsidRDefault="00330EC6">
    <w:pPr>
      <w:pStyle w:val="Header"/>
    </w:pPr>
    <w:r>
      <w:tab/>
    </w:r>
    <w:r>
      <w:tab/>
    </w:r>
  </w:p>
  <w:p w14:paraId="03E84E03" w14:textId="77777777" w:rsidR="00330EC6" w:rsidRDefault="0045317E">
    <w:pPr>
      <w:pStyle w:val="Header"/>
      <w:rPr>
        <w:b/>
        <w:sz w:val="20"/>
        <w:szCs w:val="20"/>
      </w:rPr>
    </w:pPr>
    <w:r>
      <w:rPr>
        <w:noProof/>
      </w:rPr>
      <w:drawing>
        <wp:inline distT="0" distB="0" distL="0" distR="0" wp14:anchorId="5400A01D" wp14:editId="370B62AC">
          <wp:extent cx="685800" cy="371475"/>
          <wp:effectExtent l="19050" t="0" r="0" b="0"/>
          <wp:docPr id="1" name="Picture 1" descr="F_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_C Logo"/>
                  <pic:cNvPicPr>
                    <a:picLocks noChangeAspect="1" noChangeArrowheads="1"/>
                  </pic:cNvPicPr>
                </pic:nvPicPr>
                <pic:blipFill>
                  <a:blip r:embed="rId1"/>
                  <a:srcRect/>
                  <a:stretch>
                    <a:fillRect/>
                  </a:stretch>
                </pic:blipFill>
                <pic:spPr bwMode="auto">
                  <a:xfrm>
                    <a:off x="0" y="0"/>
                    <a:ext cx="685800" cy="371475"/>
                  </a:xfrm>
                  <a:prstGeom prst="rect">
                    <a:avLst/>
                  </a:prstGeom>
                  <a:noFill/>
                  <a:ln w="9525">
                    <a:noFill/>
                    <a:miter lim="800000"/>
                    <a:headEnd/>
                    <a:tailEnd/>
                  </a:ln>
                </pic:spPr>
              </pic:pic>
            </a:graphicData>
          </a:graphic>
        </wp:inline>
      </w:drawing>
    </w:r>
    <w:r w:rsidR="00330EC6">
      <w:tab/>
    </w:r>
    <w:r w:rsidR="00330EC6">
      <w:tab/>
    </w:r>
    <w:r w:rsidR="00330EC6">
      <w:rPr>
        <w:b/>
        <w:sz w:val="20"/>
        <w:szCs w:val="20"/>
      </w:rPr>
      <w:t xml:space="preserve">Page </w:t>
    </w:r>
    <w:r w:rsidR="00217838">
      <w:rPr>
        <w:b/>
        <w:sz w:val="20"/>
        <w:szCs w:val="20"/>
      </w:rPr>
      <w:fldChar w:fldCharType="begin"/>
    </w:r>
    <w:r w:rsidR="00330EC6">
      <w:rPr>
        <w:b/>
        <w:sz w:val="20"/>
        <w:szCs w:val="20"/>
      </w:rPr>
      <w:instrText xml:space="preserve"> PAGE </w:instrText>
    </w:r>
    <w:r w:rsidR="00217838">
      <w:rPr>
        <w:b/>
        <w:sz w:val="20"/>
        <w:szCs w:val="20"/>
      </w:rPr>
      <w:fldChar w:fldCharType="separate"/>
    </w:r>
    <w:r w:rsidR="004F5B98">
      <w:rPr>
        <w:b/>
        <w:noProof/>
        <w:sz w:val="20"/>
        <w:szCs w:val="20"/>
      </w:rPr>
      <w:t>2</w:t>
    </w:r>
    <w:r w:rsidR="00217838">
      <w:rPr>
        <w:b/>
        <w:sz w:val="20"/>
        <w:szCs w:val="20"/>
      </w:rPr>
      <w:fldChar w:fldCharType="end"/>
    </w:r>
    <w:r w:rsidR="00330EC6">
      <w:rPr>
        <w:b/>
        <w:sz w:val="20"/>
        <w:szCs w:val="20"/>
      </w:rPr>
      <w:t xml:space="preserve"> of </w:t>
    </w:r>
    <w:r w:rsidR="00217838">
      <w:rPr>
        <w:b/>
        <w:sz w:val="20"/>
        <w:szCs w:val="20"/>
      </w:rPr>
      <w:fldChar w:fldCharType="begin"/>
    </w:r>
    <w:r w:rsidR="00330EC6">
      <w:rPr>
        <w:b/>
        <w:sz w:val="20"/>
        <w:szCs w:val="20"/>
      </w:rPr>
      <w:instrText xml:space="preserve"> NUMPAGES </w:instrText>
    </w:r>
    <w:r w:rsidR="00217838">
      <w:rPr>
        <w:b/>
        <w:sz w:val="20"/>
        <w:szCs w:val="20"/>
      </w:rPr>
      <w:fldChar w:fldCharType="separate"/>
    </w:r>
    <w:r w:rsidR="004F5B98">
      <w:rPr>
        <w:b/>
        <w:noProof/>
        <w:sz w:val="20"/>
        <w:szCs w:val="20"/>
      </w:rPr>
      <w:t>2</w:t>
    </w:r>
    <w:r w:rsidR="00217838">
      <w:rPr>
        <w:b/>
        <w:sz w:val="20"/>
        <w:szCs w:val="20"/>
      </w:rPr>
      <w:fldChar w:fldCharType="end"/>
    </w:r>
  </w:p>
  <w:p w14:paraId="02057035" w14:textId="67126061" w:rsidR="00330EC6" w:rsidRDefault="004F5B98">
    <w:pPr>
      <w:pStyle w:val="Header"/>
      <w:rPr>
        <w:b/>
        <w:sz w:val="16"/>
        <w:szCs w:val="16"/>
      </w:rPr>
    </w:pPr>
    <w:r>
      <w:rPr>
        <w:b/>
        <w:noProof/>
        <w:sz w:val="20"/>
        <w:szCs w:val="20"/>
      </w:rPr>
      <mc:AlternateContent>
        <mc:Choice Requires="wps">
          <w:drawing>
            <wp:anchor distT="0" distB="0" distL="114300" distR="114300" simplePos="0" relativeHeight="251657728" behindDoc="0" locked="0" layoutInCell="1" allowOverlap="1" wp14:anchorId="4AD53275" wp14:editId="1DEEA3E6">
              <wp:simplePos x="0" y="0"/>
              <wp:positionH relativeFrom="column">
                <wp:posOffset>0</wp:posOffset>
              </wp:positionH>
              <wp:positionV relativeFrom="paragraph">
                <wp:posOffset>0</wp:posOffset>
              </wp:positionV>
              <wp:extent cx="5486400" cy="0"/>
              <wp:effectExtent l="12700" t="12700" r="25400" b="2540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CADB87"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6in,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"/>
          </w:pict>
        </mc:Fallback>
      </mc:AlternateContent>
    </w:r>
    <w:r w:rsidR="00330EC6">
      <w:rPr>
        <w:b/>
        <w:sz w:val="20"/>
        <w:szCs w:val="20"/>
      </w:rPr>
      <w:softHyphen/>
    </w:r>
    <w:r w:rsidR="00330EC6">
      <w:rPr>
        <w:b/>
        <w:sz w:val="20"/>
        <w:szCs w:val="20"/>
      </w:rPr>
      <w:softHyphen/>
    </w:r>
    <w:r w:rsidR="00330EC6">
      <w:rPr>
        <w:b/>
        <w:sz w:val="20"/>
        <w:szCs w:val="20"/>
      </w:rPr>
      <w:softHyphen/>
    </w:r>
    <w:r w:rsidR="00330EC6">
      <w:rPr>
        <w:b/>
        <w:sz w:val="20"/>
        <w:szCs w:val="20"/>
      </w:rPr>
      <w:softHyphen/>
    </w:r>
    <w:r w:rsidR="00330EC6">
      <w:rPr>
        <w:b/>
        <w:sz w:val="20"/>
        <w:szCs w:val="20"/>
      </w:rPr>
      <w:softHyphen/>
    </w:r>
    <w:r w:rsidR="00330EC6">
      <w:rPr>
        <w:b/>
        <w:sz w:val="20"/>
        <w:szCs w:val="20"/>
      </w:rPr>
      <w:softHyphen/>
    </w:r>
    <w:r w:rsidR="00330EC6">
      <w:rPr>
        <w:b/>
        <w:sz w:val="20"/>
        <w:szCs w:val="20"/>
      </w:rPr>
      <w:softHyphen/>
    </w:r>
    <w:r w:rsidR="00330EC6">
      <w:rPr>
        <w:b/>
        <w:sz w:val="20"/>
        <w:szCs w:val="20"/>
      </w:rPr>
      <w:softHyphen/>
    </w:r>
    <w:r w:rsidR="00330EC6">
      <w:rPr>
        <w:b/>
        <w:sz w:val="20"/>
        <w:szCs w:val="20"/>
      </w:rPr>
      <w:softHyphen/>
    </w:r>
    <w:r w:rsidR="00330EC6">
      <w:rPr>
        <w:b/>
        <w:sz w:val="20"/>
        <w:szCs w:val="20"/>
      </w:rPr>
      <w:softHyphen/>
    </w:r>
    <w:r w:rsidR="00330EC6">
      <w:rPr>
        <w:b/>
        <w:sz w:val="20"/>
        <w:szCs w:val="20"/>
      </w:rPr>
      <w:softHyphen/>
    </w:r>
    <w:r w:rsidR="00330EC6">
      <w:rPr>
        <w:b/>
        <w:sz w:val="20"/>
        <w:szCs w:val="20"/>
      </w:rPr>
      <w:softHyphen/>
    </w:r>
    <w:r w:rsidR="00330EC6">
      <w:rPr>
        <w:b/>
        <w:sz w:val="20"/>
        <w:szCs w:val="20"/>
      </w:rPr>
      <w:softHyphen/>
    </w:r>
    <w:r w:rsidR="00330EC6">
      <w:rPr>
        <w:b/>
        <w:sz w:val="20"/>
        <w:szCs w:val="20"/>
      </w:rPr>
      <w:softHyphen/>
    </w:r>
    <w:r w:rsidR="00330EC6">
      <w:rPr>
        <w:b/>
        <w:sz w:val="20"/>
        <w:szCs w:val="20"/>
      </w:rPr>
      <w:softHyphen/>
    </w:r>
    <w:r w:rsidR="00330EC6">
      <w:rPr>
        <w:b/>
        <w:sz w:val="20"/>
        <w:szCs w:val="20"/>
      </w:rPr>
      <w:softHyphen/>
    </w:r>
    <w:r w:rsidR="00330EC6">
      <w:rPr>
        <w:b/>
        <w:sz w:val="20"/>
        <w:szCs w:val="20"/>
      </w:rPr>
      <w:softHyphen/>
    </w:r>
    <w:r w:rsidR="00330EC6">
      <w:rPr>
        <w:b/>
        <w:sz w:val="20"/>
        <w:szCs w:val="20"/>
      </w:rPr>
      <w:softHyphen/>
    </w:r>
    <w:r w:rsidR="00330EC6">
      <w:rPr>
        <w:b/>
        <w:sz w:val="20"/>
        <w:szCs w:val="20"/>
      </w:rPr>
      <w:softHyphen/>
    </w:r>
    <w:r w:rsidR="00330EC6">
      <w:rPr>
        <w:b/>
        <w:sz w:val="20"/>
        <w:szCs w:val="20"/>
      </w:rPr>
      <w:softHyphen/>
    </w:r>
    <w:r w:rsidR="00330EC6">
      <w:rPr>
        <w:b/>
        <w:sz w:val="20"/>
        <w:szCs w:val="20"/>
      </w:rPr>
      <w:softHyphen/>
    </w:r>
    <w:r w:rsidR="00330EC6">
      <w:rPr>
        <w:b/>
        <w:sz w:val="20"/>
        <w:szCs w:val="20"/>
      </w:rPr>
      <w:softHyphen/>
    </w:r>
    <w:r w:rsidR="00330EC6">
      <w:rPr>
        <w:b/>
        <w:sz w:val="20"/>
        <w:szCs w:val="20"/>
      </w:rPr>
      <w:softHyphen/>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D7357C"/>
    <w:multiLevelType w:val="multilevel"/>
    <w:tmpl w:val="0C5ED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46426AE"/>
    <w:multiLevelType w:val="hybridMultilevel"/>
    <w:tmpl w:val="3E1063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5652D8C"/>
    <w:multiLevelType w:val="hybridMultilevel"/>
    <w:tmpl w:val="069CD838"/>
    <w:lvl w:ilvl="0" w:tplc="28941C8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DE1EF7"/>
    <w:multiLevelType w:val="hybridMultilevel"/>
    <w:tmpl w:val="62ACF0E6"/>
    <w:lvl w:ilvl="0" w:tplc="996EBB86">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71A7314"/>
    <w:multiLevelType w:val="hybridMultilevel"/>
    <w:tmpl w:val="939E8F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4E0F53DD"/>
    <w:multiLevelType w:val="hybridMultilevel"/>
    <w:tmpl w:val="93CA21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20A0E66"/>
    <w:multiLevelType w:val="hybridMultilevel"/>
    <w:tmpl w:val="48985E6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nsid w:val="57A11537"/>
    <w:multiLevelType w:val="hybridMultilevel"/>
    <w:tmpl w:val="3078D4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DFE7FB0"/>
    <w:multiLevelType w:val="hybridMultilevel"/>
    <w:tmpl w:val="AD2859A8"/>
    <w:lvl w:ilvl="0" w:tplc="D77C6C2C">
      <w:start w:val="1"/>
      <w:numFmt w:val="bullet"/>
      <w:lvlText w:val="—"/>
      <w:lvlJc w:val="left"/>
      <w:pPr>
        <w:tabs>
          <w:tab w:val="num" w:pos="720"/>
        </w:tabs>
        <w:ind w:left="720" w:hanging="360"/>
      </w:pPr>
      <w:rPr>
        <w:rFonts w:ascii="LindeDaxPowerPoint" w:hAnsi="LindeDaxPowerPoint" w:hint="default"/>
      </w:rPr>
    </w:lvl>
    <w:lvl w:ilvl="1" w:tplc="6E181E18" w:tentative="1">
      <w:start w:val="1"/>
      <w:numFmt w:val="bullet"/>
      <w:lvlText w:val="—"/>
      <w:lvlJc w:val="left"/>
      <w:pPr>
        <w:tabs>
          <w:tab w:val="num" w:pos="1440"/>
        </w:tabs>
        <w:ind w:left="1440" w:hanging="360"/>
      </w:pPr>
      <w:rPr>
        <w:rFonts w:ascii="LindeDaxPowerPoint" w:hAnsi="LindeDaxPowerPoint" w:hint="default"/>
      </w:rPr>
    </w:lvl>
    <w:lvl w:ilvl="2" w:tplc="F8FA3876">
      <w:start w:val="182"/>
      <w:numFmt w:val="bullet"/>
      <w:lvlText w:val="—"/>
      <w:lvlJc w:val="left"/>
      <w:pPr>
        <w:tabs>
          <w:tab w:val="num" w:pos="2160"/>
        </w:tabs>
        <w:ind w:left="2160" w:hanging="360"/>
      </w:pPr>
      <w:rPr>
        <w:rFonts w:ascii="LindeDaxPowerPoint" w:hAnsi="LindeDaxPowerPoint" w:hint="default"/>
      </w:rPr>
    </w:lvl>
    <w:lvl w:ilvl="3" w:tplc="845A1144" w:tentative="1">
      <w:start w:val="1"/>
      <w:numFmt w:val="bullet"/>
      <w:lvlText w:val="—"/>
      <w:lvlJc w:val="left"/>
      <w:pPr>
        <w:tabs>
          <w:tab w:val="num" w:pos="2880"/>
        </w:tabs>
        <w:ind w:left="2880" w:hanging="360"/>
      </w:pPr>
      <w:rPr>
        <w:rFonts w:ascii="LindeDaxPowerPoint" w:hAnsi="LindeDaxPowerPoint" w:hint="default"/>
      </w:rPr>
    </w:lvl>
    <w:lvl w:ilvl="4" w:tplc="D110D54A" w:tentative="1">
      <w:start w:val="1"/>
      <w:numFmt w:val="bullet"/>
      <w:lvlText w:val="—"/>
      <w:lvlJc w:val="left"/>
      <w:pPr>
        <w:tabs>
          <w:tab w:val="num" w:pos="3600"/>
        </w:tabs>
        <w:ind w:left="3600" w:hanging="360"/>
      </w:pPr>
      <w:rPr>
        <w:rFonts w:ascii="LindeDaxPowerPoint" w:hAnsi="LindeDaxPowerPoint" w:hint="default"/>
      </w:rPr>
    </w:lvl>
    <w:lvl w:ilvl="5" w:tplc="038ECCE4" w:tentative="1">
      <w:start w:val="1"/>
      <w:numFmt w:val="bullet"/>
      <w:lvlText w:val="—"/>
      <w:lvlJc w:val="left"/>
      <w:pPr>
        <w:tabs>
          <w:tab w:val="num" w:pos="4320"/>
        </w:tabs>
        <w:ind w:left="4320" w:hanging="360"/>
      </w:pPr>
      <w:rPr>
        <w:rFonts w:ascii="LindeDaxPowerPoint" w:hAnsi="LindeDaxPowerPoint" w:hint="default"/>
      </w:rPr>
    </w:lvl>
    <w:lvl w:ilvl="6" w:tplc="CB504B7A" w:tentative="1">
      <w:start w:val="1"/>
      <w:numFmt w:val="bullet"/>
      <w:lvlText w:val="—"/>
      <w:lvlJc w:val="left"/>
      <w:pPr>
        <w:tabs>
          <w:tab w:val="num" w:pos="5040"/>
        </w:tabs>
        <w:ind w:left="5040" w:hanging="360"/>
      </w:pPr>
      <w:rPr>
        <w:rFonts w:ascii="LindeDaxPowerPoint" w:hAnsi="LindeDaxPowerPoint" w:hint="default"/>
      </w:rPr>
    </w:lvl>
    <w:lvl w:ilvl="7" w:tplc="0CA212AE" w:tentative="1">
      <w:start w:val="1"/>
      <w:numFmt w:val="bullet"/>
      <w:lvlText w:val="—"/>
      <w:lvlJc w:val="left"/>
      <w:pPr>
        <w:tabs>
          <w:tab w:val="num" w:pos="5760"/>
        </w:tabs>
        <w:ind w:left="5760" w:hanging="360"/>
      </w:pPr>
      <w:rPr>
        <w:rFonts w:ascii="LindeDaxPowerPoint" w:hAnsi="LindeDaxPowerPoint" w:hint="default"/>
      </w:rPr>
    </w:lvl>
    <w:lvl w:ilvl="8" w:tplc="FF3E9654" w:tentative="1">
      <w:start w:val="1"/>
      <w:numFmt w:val="bullet"/>
      <w:lvlText w:val="—"/>
      <w:lvlJc w:val="left"/>
      <w:pPr>
        <w:tabs>
          <w:tab w:val="num" w:pos="6480"/>
        </w:tabs>
        <w:ind w:left="6480" w:hanging="360"/>
      </w:pPr>
      <w:rPr>
        <w:rFonts w:ascii="LindeDaxPowerPoint" w:hAnsi="LindeDaxPowerPoint" w:hint="default"/>
      </w:rPr>
    </w:lvl>
  </w:abstractNum>
  <w:num w:numId="1">
    <w:abstractNumId w:val="4"/>
  </w:num>
  <w:num w:numId="2">
    <w:abstractNumId w:val="0"/>
  </w:num>
  <w:num w:numId="3">
    <w:abstractNumId w:val="7"/>
  </w:num>
  <w:num w:numId="4">
    <w:abstractNumId w:val="1"/>
  </w:num>
  <w:num w:numId="5">
    <w:abstractNumId w:val="5"/>
  </w:num>
  <w:num w:numId="6">
    <w:abstractNumId w:val="8"/>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9FF"/>
    <w:rsid w:val="0000679D"/>
    <w:rsid w:val="00010434"/>
    <w:rsid w:val="00042C16"/>
    <w:rsid w:val="000466A3"/>
    <w:rsid w:val="000A0280"/>
    <w:rsid w:val="000A07DE"/>
    <w:rsid w:val="000B5003"/>
    <w:rsid w:val="000C497C"/>
    <w:rsid w:val="00192CFC"/>
    <w:rsid w:val="001A30F4"/>
    <w:rsid w:val="00217838"/>
    <w:rsid w:val="00266247"/>
    <w:rsid w:val="0027525A"/>
    <w:rsid w:val="002B1662"/>
    <w:rsid w:val="002D1524"/>
    <w:rsid w:val="002E2502"/>
    <w:rsid w:val="002F4EF0"/>
    <w:rsid w:val="00323801"/>
    <w:rsid w:val="00330EC6"/>
    <w:rsid w:val="003333EE"/>
    <w:rsid w:val="003366BA"/>
    <w:rsid w:val="00382960"/>
    <w:rsid w:val="00396103"/>
    <w:rsid w:val="003A6A61"/>
    <w:rsid w:val="003B3536"/>
    <w:rsid w:val="003E0B97"/>
    <w:rsid w:val="003E29AE"/>
    <w:rsid w:val="003F45C0"/>
    <w:rsid w:val="0045317E"/>
    <w:rsid w:val="004611EF"/>
    <w:rsid w:val="00473A43"/>
    <w:rsid w:val="004A0F09"/>
    <w:rsid w:val="004A3D0E"/>
    <w:rsid w:val="004B0B7E"/>
    <w:rsid w:val="004C447E"/>
    <w:rsid w:val="004F5B98"/>
    <w:rsid w:val="00515C1D"/>
    <w:rsid w:val="00545DAD"/>
    <w:rsid w:val="0055076E"/>
    <w:rsid w:val="00560ACE"/>
    <w:rsid w:val="00561AF4"/>
    <w:rsid w:val="005E14EE"/>
    <w:rsid w:val="005E3BB9"/>
    <w:rsid w:val="00634283"/>
    <w:rsid w:val="00666903"/>
    <w:rsid w:val="006705CE"/>
    <w:rsid w:val="00693528"/>
    <w:rsid w:val="006B6216"/>
    <w:rsid w:val="006C50C3"/>
    <w:rsid w:val="006F7A11"/>
    <w:rsid w:val="00722B14"/>
    <w:rsid w:val="00775B77"/>
    <w:rsid w:val="00784D6A"/>
    <w:rsid w:val="007E5BC1"/>
    <w:rsid w:val="00803C09"/>
    <w:rsid w:val="00831F86"/>
    <w:rsid w:val="00836F8C"/>
    <w:rsid w:val="008838C5"/>
    <w:rsid w:val="00884362"/>
    <w:rsid w:val="008A0761"/>
    <w:rsid w:val="008A32FE"/>
    <w:rsid w:val="008C7DAA"/>
    <w:rsid w:val="008D2470"/>
    <w:rsid w:val="008E75DD"/>
    <w:rsid w:val="00966F24"/>
    <w:rsid w:val="009A3677"/>
    <w:rsid w:val="009A51BB"/>
    <w:rsid w:val="009B0FA1"/>
    <w:rsid w:val="009D7484"/>
    <w:rsid w:val="00A04F42"/>
    <w:rsid w:val="00A332DC"/>
    <w:rsid w:val="00A409E9"/>
    <w:rsid w:val="00A5149E"/>
    <w:rsid w:val="00A569E3"/>
    <w:rsid w:val="00A651DE"/>
    <w:rsid w:val="00A7307A"/>
    <w:rsid w:val="00A83110"/>
    <w:rsid w:val="00A950D2"/>
    <w:rsid w:val="00AB4B92"/>
    <w:rsid w:val="00AD157F"/>
    <w:rsid w:val="00B41F43"/>
    <w:rsid w:val="00B6602E"/>
    <w:rsid w:val="00B76AD7"/>
    <w:rsid w:val="00BC415E"/>
    <w:rsid w:val="00BC5E12"/>
    <w:rsid w:val="00BF1DC1"/>
    <w:rsid w:val="00C269FF"/>
    <w:rsid w:val="00C64938"/>
    <w:rsid w:val="00C77CCF"/>
    <w:rsid w:val="00C87A91"/>
    <w:rsid w:val="00C952C8"/>
    <w:rsid w:val="00C97DA0"/>
    <w:rsid w:val="00CB19D8"/>
    <w:rsid w:val="00CF22F1"/>
    <w:rsid w:val="00D61003"/>
    <w:rsid w:val="00DA1DDF"/>
    <w:rsid w:val="00DB3E21"/>
    <w:rsid w:val="00DE1139"/>
    <w:rsid w:val="00DF23E5"/>
    <w:rsid w:val="00E12B0A"/>
    <w:rsid w:val="00E216FC"/>
    <w:rsid w:val="00E45A23"/>
    <w:rsid w:val="00E50DDA"/>
    <w:rsid w:val="00E53295"/>
    <w:rsid w:val="00E70A7A"/>
    <w:rsid w:val="00E92EA9"/>
    <w:rsid w:val="00EC3BB6"/>
    <w:rsid w:val="00F23A71"/>
    <w:rsid w:val="00F5429C"/>
    <w:rsid w:val="00FD305C"/>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5A308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5E3BB9"/>
    <w:rPr>
      <w:rFonts w:ascii="Arial" w:hAnsi="Arial" w:cs="Arial"/>
      <w:sz w:val="24"/>
      <w:szCs w:val="24"/>
      <w:lang w:val="en-US" w:eastAsia="en-US"/>
    </w:rPr>
  </w:style>
  <w:style w:type="paragraph" w:styleId="Heading1">
    <w:name w:val="heading 1"/>
    <w:basedOn w:val="Normal"/>
    <w:qFormat/>
    <w:rsid w:val="005E3BB9"/>
    <w:pPr>
      <w:spacing w:before="100" w:beforeAutospacing="1" w:after="100" w:afterAutospacing="1"/>
      <w:outlineLvl w:val="0"/>
    </w:pPr>
    <w:rPr>
      <w:rFonts w:ascii="Arial Unicode MS" w:eastAsia="Arial Unicode MS" w:hAnsi="Arial Unicode MS" w:cs="Arial Unicode MS"/>
      <w:b/>
      <w:bCs/>
      <w:kern w:val="36"/>
      <w:sz w:val="48"/>
      <w:szCs w:val="4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E3BB9"/>
    <w:pPr>
      <w:tabs>
        <w:tab w:val="center" w:pos="4320"/>
        <w:tab w:val="right" w:pos="8640"/>
      </w:tabs>
    </w:pPr>
  </w:style>
  <w:style w:type="paragraph" w:styleId="Footer">
    <w:name w:val="footer"/>
    <w:basedOn w:val="Normal"/>
    <w:rsid w:val="005E3BB9"/>
    <w:pPr>
      <w:tabs>
        <w:tab w:val="center" w:pos="4320"/>
        <w:tab w:val="right" w:pos="8640"/>
      </w:tabs>
    </w:pPr>
  </w:style>
  <w:style w:type="paragraph" w:styleId="BalloonText">
    <w:name w:val="Balloon Text"/>
    <w:basedOn w:val="Normal"/>
    <w:semiHidden/>
    <w:rsid w:val="005E3BB9"/>
    <w:rPr>
      <w:rFonts w:ascii="Tahoma" w:hAnsi="Tahoma" w:cs="Tahoma"/>
      <w:sz w:val="16"/>
      <w:szCs w:val="16"/>
    </w:rPr>
  </w:style>
  <w:style w:type="character" w:styleId="Hyperlink">
    <w:name w:val="Hyperlink"/>
    <w:rsid w:val="005E3BB9"/>
    <w:rPr>
      <w:color w:val="0000FF"/>
      <w:u w:val="single"/>
    </w:rPr>
  </w:style>
  <w:style w:type="character" w:customStyle="1" w:styleId="style251">
    <w:name w:val="style251"/>
    <w:rsid w:val="005E3BB9"/>
    <w:rPr>
      <w:color w:val="000000"/>
    </w:rPr>
  </w:style>
  <w:style w:type="character" w:styleId="Strong">
    <w:name w:val="Strong"/>
    <w:qFormat/>
    <w:rsid w:val="005E3BB9"/>
    <w:rPr>
      <w:b/>
      <w:bCs/>
    </w:rPr>
  </w:style>
  <w:style w:type="paragraph" w:styleId="NormalWeb">
    <w:name w:val="Normal (Web)"/>
    <w:basedOn w:val="Normal"/>
    <w:rsid w:val="005E3BB9"/>
    <w:pPr>
      <w:spacing w:before="100" w:beforeAutospacing="1" w:after="100" w:afterAutospacing="1"/>
    </w:pPr>
    <w:rPr>
      <w:rFonts w:ascii="Times New Roman" w:hAnsi="Times New Roman" w:cs="Times New Roman"/>
    </w:rPr>
  </w:style>
  <w:style w:type="paragraph" w:styleId="BodyText">
    <w:name w:val="Body Text"/>
    <w:basedOn w:val="Normal"/>
    <w:rsid w:val="005E3BB9"/>
    <w:pPr>
      <w:spacing w:line="360" w:lineRule="auto"/>
      <w:jc w:val="both"/>
    </w:pPr>
    <w:rPr>
      <w:i/>
      <w:iCs/>
      <w:u w:val="single"/>
    </w:rPr>
  </w:style>
  <w:style w:type="paragraph" w:styleId="BodyText2">
    <w:name w:val="Body Text 2"/>
    <w:basedOn w:val="Normal"/>
    <w:rsid w:val="005E3BB9"/>
    <w:pPr>
      <w:spacing w:line="360" w:lineRule="auto"/>
      <w:jc w:val="both"/>
    </w:pPr>
  </w:style>
  <w:style w:type="paragraph" w:styleId="BodyText3">
    <w:name w:val="Body Text 3"/>
    <w:basedOn w:val="Normal"/>
    <w:rsid w:val="005E3BB9"/>
    <w:pPr>
      <w:spacing w:after="120"/>
    </w:pPr>
    <w:rPr>
      <w:sz w:val="16"/>
      <w:szCs w:val="16"/>
    </w:rPr>
  </w:style>
  <w:style w:type="paragraph" w:customStyle="1" w:styleId="style2">
    <w:name w:val="style2"/>
    <w:basedOn w:val="Normal"/>
    <w:rsid w:val="005E3BB9"/>
    <w:pPr>
      <w:spacing w:before="100" w:beforeAutospacing="1" w:after="100" w:afterAutospacing="1"/>
    </w:pPr>
    <w:rPr>
      <w:rFonts w:ascii="Arial Unicode MS" w:eastAsia="Arial Unicode MS" w:hAnsi="Arial Unicode MS" w:cs="Arial Unicode MS"/>
      <w:lang w:val="en-GB"/>
    </w:rPr>
  </w:style>
  <w:style w:type="character" w:customStyle="1" w:styleId="style3">
    <w:name w:val="style3"/>
    <w:basedOn w:val="DefaultParagraphFont"/>
    <w:rsid w:val="005E3BB9"/>
  </w:style>
  <w:style w:type="paragraph" w:styleId="PlainText">
    <w:name w:val="Plain Text"/>
    <w:basedOn w:val="Normal"/>
    <w:rsid w:val="008A32FE"/>
    <w:rPr>
      <w:rFonts w:ascii="Courier New" w:hAnsi="Courier New" w:cs="Courier New"/>
      <w:sz w:val="20"/>
      <w:szCs w:val="20"/>
      <w:lang w:val="en-ZA"/>
    </w:rPr>
  </w:style>
  <w:style w:type="character" w:customStyle="1" w:styleId="newsdate">
    <w:name w:val="newsdate"/>
    <w:basedOn w:val="DefaultParagraphFont"/>
    <w:rsid w:val="003E0B97"/>
  </w:style>
  <w:style w:type="character" w:customStyle="1" w:styleId="ft">
    <w:name w:val="ft"/>
    <w:basedOn w:val="DefaultParagraphFont"/>
    <w:rsid w:val="003961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441130">
      <w:bodyDiv w:val="1"/>
      <w:marLeft w:val="0"/>
      <w:marRight w:val="0"/>
      <w:marTop w:val="0"/>
      <w:marBottom w:val="0"/>
      <w:divBdr>
        <w:top w:val="none" w:sz="0" w:space="0" w:color="auto"/>
        <w:left w:val="none" w:sz="0" w:space="0" w:color="auto"/>
        <w:bottom w:val="none" w:sz="0" w:space="0" w:color="auto"/>
        <w:right w:val="none" w:sz="0" w:space="0" w:color="auto"/>
      </w:divBdr>
    </w:div>
    <w:div w:id="844973127">
      <w:bodyDiv w:val="1"/>
      <w:marLeft w:val="0"/>
      <w:marRight w:val="0"/>
      <w:marTop w:val="0"/>
      <w:marBottom w:val="0"/>
      <w:divBdr>
        <w:top w:val="none" w:sz="0" w:space="0" w:color="auto"/>
        <w:left w:val="none" w:sz="0" w:space="0" w:color="auto"/>
        <w:bottom w:val="none" w:sz="0" w:space="0" w:color="auto"/>
        <w:right w:val="none" w:sz="0" w:space="0" w:color="auto"/>
      </w:divBdr>
    </w:div>
    <w:div w:id="1068188240">
      <w:bodyDiv w:val="1"/>
      <w:marLeft w:val="0"/>
      <w:marRight w:val="0"/>
      <w:marTop w:val="0"/>
      <w:marBottom w:val="0"/>
      <w:divBdr>
        <w:top w:val="none" w:sz="0" w:space="0" w:color="auto"/>
        <w:left w:val="none" w:sz="0" w:space="0" w:color="auto"/>
        <w:bottom w:val="none" w:sz="0" w:space="0" w:color="auto"/>
        <w:right w:val="none" w:sz="0" w:space="0" w:color="auto"/>
      </w:divBdr>
    </w:div>
    <w:div w:id="1258253135">
      <w:bodyDiv w:val="1"/>
      <w:marLeft w:val="0"/>
      <w:marRight w:val="0"/>
      <w:marTop w:val="0"/>
      <w:marBottom w:val="0"/>
      <w:divBdr>
        <w:top w:val="none" w:sz="0" w:space="0" w:color="auto"/>
        <w:left w:val="none" w:sz="0" w:space="0" w:color="auto"/>
        <w:bottom w:val="none" w:sz="0" w:space="0" w:color="auto"/>
        <w:right w:val="none" w:sz="0" w:space="0" w:color="auto"/>
      </w:divBdr>
    </w:div>
    <w:div w:id="1838113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loll@sepe.co.za"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m1\Application%20Data\Microsoft\Templates\Afrox%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C:\Documents and Settings\gm1\Application Data\Microsoft\Templates\Afrox Template.dot</Template>
  <TotalTime>1</TotalTime>
  <Pages>2</Pages>
  <Words>785</Words>
  <Characters>4475</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Headline</vt:lpstr>
    </vt:vector>
  </TitlesOfParts>
  <Company/>
  <LinksUpToDate>false</LinksUpToDate>
  <CharactersWithSpaces>5250</CharactersWithSpaces>
  <SharedDoc>false</SharedDoc>
  <HLinks>
    <vt:vector size="6" baseType="variant">
      <vt:variant>
        <vt:i4>917617</vt:i4>
      </vt:variant>
      <vt:variant>
        <vt:i4>0</vt:i4>
      </vt:variant>
      <vt:variant>
        <vt:i4>0</vt:i4>
      </vt:variant>
      <vt:variant>
        <vt:i4>5</vt:i4>
      </vt:variant>
      <vt:variant>
        <vt:lpwstr>mailto:loll@sepe.co.za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Headline</dc:title>
  <dc:creator>Gary Cromhout</dc:creator>
  <cp:lastModifiedBy>Priscilla Moroke</cp:lastModifiedBy>
  <cp:revision>2</cp:revision>
  <cp:lastPrinted>2017-10-04T07:36:00Z</cp:lastPrinted>
  <dcterms:created xsi:type="dcterms:W3CDTF">2017-10-05T14:31:00Z</dcterms:created>
  <dcterms:modified xsi:type="dcterms:W3CDTF">2017-10-05T14:31:00Z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-276218019</vt:i4>
  </property>
</Properties>
</file>