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86D89B" w14:textId="77777777" w:rsidR="00227CE9" w:rsidRPr="00227CE9" w:rsidRDefault="00227CE9" w:rsidP="00147A07">
      <w:pPr>
        <w:pStyle w:val="VersionHistory"/>
      </w:pPr>
      <w:bookmarkStart w:id="0" w:name="_GoBack"/>
      <w:bookmarkEnd w:id="0"/>
      <w:r w:rsidRPr="00227CE9">
        <w:t>New partnership between acQuire and REFLEX brings benefits beyond the surface</w:t>
      </w:r>
    </w:p>
    <w:p w14:paraId="1030900C" w14:textId="31671821" w:rsidR="00227CE9" w:rsidRPr="00227CE9" w:rsidRDefault="00227CE9" w:rsidP="00147A07">
      <w:pPr>
        <w:pStyle w:val="Heading3"/>
      </w:pPr>
      <w:r w:rsidRPr="00227CE9">
        <w:t xml:space="preserve">A new partnership between acQuire and REFLEX will bring access to </w:t>
      </w:r>
      <w:r w:rsidR="00561C92">
        <w:t>timely</w:t>
      </w:r>
      <w:r w:rsidRPr="00227CE9">
        <w:t>, verified and accurate sub-surface information to the fingertips of GIM Suite users.</w:t>
      </w:r>
    </w:p>
    <w:p w14:paraId="3212D8C1" w14:textId="624FBA9E" w:rsidR="00227CE9" w:rsidRPr="00227CE9" w:rsidRDefault="00227CE9" w:rsidP="00227CE9">
      <w:r w:rsidRPr="00227CE9">
        <w:rPr>
          <w:b/>
        </w:rPr>
        <w:t xml:space="preserve">PERTH, WESTERN AUSTRALIA </w:t>
      </w:r>
      <w:r w:rsidRPr="00227CE9">
        <w:t xml:space="preserve">– September 2017 - </w:t>
      </w:r>
      <w:hyperlink r:id="rId12" w:history="1">
        <w:r w:rsidRPr="00227CE9">
          <w:rPr>
            <w:rStyle w:val="Hyperlink"/>
          </w:rPr>
          <w:t>acQuire Technology Solutions Pty Ltd</w:t>
        </w:r>
      </w:hyperlink>
      <w:r w:rsidRPr="00227CE9">
        <w:t xml:space="preserve"> (acQuire), </w:t>
      </w:r>
      <w:r w:rsidR="008232FA">
        <w:t xml:space="preserve">a market-leader in geoscientific information management software solutions, </w:t>
      </w:r>
      <w:r w:rsidRPr="00227CE9">
        <w:t xml:space="preserve">and REFLEX, a pioneer in the development of downhole data acquisition systems, announce a partnership to integrate their innovative </w:t>
      </w:r>
      <w:r w:rsidR="008232FA">
        <w:t>technology</w:t>
      </w:r>
      <w:r w:rsidR="007812AB">
        <w:t xml:space="preserve"> </w:t>
      </w:r>
      <w:r w:rsidRPr="00227CE9">
        <w:t>products.</w:t>
      </w:r>
    </w:p>
    <w:p w14:paraId="0B6FF2E4" w14:textId="587EC235" w:rsidR="008232FA" w:rsidRPr="00227CE9" w:rsidRDefault="00227CE9" w:rsidP="00227CE9">
      <w:r w:rsidRPr="00227CE9">
        <w:t>The integration of a</w:t>
      </w:r>
      <w:r w:rsidR="0033653D">
        <w:t>cQuire’s GIM Suite and REFLEXHUB</w:t>
      </w:r>
      <w:r w:rsidRPr="00227CE9">
        <w:t>-IQ will vastly improve efficiencies to speed up the data pipeline</w:t>
      </w:r>
      <w:r w:rsidR="007E498C">
        <w:t xml:space="preserve"> by</w:t>
      </w:r>
      <w:r w:rsidR="00712C64">
        <w:t xml:space="preserve"> </w:t>
      </w:r>
      <w:r w:rsidR="00E45CD6">
        <w:t>removing manual bottlenecks and providing a transparent</w:t>
      </w:r>
      <w:r w:rsidR="007E498C">
        <w:t>,</w:t>
      </w:r>
      <w:r w:rsidR="00226179">
        <w:t xml:space="preserve"> seamless</w:t>
      </w:r>
      <w:r w:rsidR="007E498C">
        <w:t xml:space="preserve"> </w:t>
      </w:r>
      <w:r w:rsidR="00E45CD6">
        <w:t>data exchange</w:t>
      </w:r>
      <w:r w:rsidR="007E498C">
        <w:t xml:space="preserve"> through a secure web link</w:t>
      </w:r>
      <w:r w:rsidRPr="00227CE9">
        <w:t>.</w:t>
      </w:r>
      <w:r w:rsidR="00712C64">
        <w:t xml:space="preserve"> </w:t>
      </w:r>
      <w:r w:rsidR="00226179">
        <w:t>In addition, c</w:t>
      </w:r>
      <w:r w:rsidRPr="00227CE9">
        <w:t xml:space="preserve">onsistent and rich meta-data </w:t>
      </w:r>
      <w:r w:rsidR="00226179">
        <w:t>provides</w:t>
      </w:r>
      <w:r w:rsidR="00226179" w:rsidRPr="00227CE9">
        <w:t xml:space="preserve"> </w:t>
      </w:r>
      <w:r w:rsidR="00226179">
        <w:t xml:space="preserve">a </w:t>
      </w:r>
      <w:r w:rsidRPr="00227CE9">
        <w:t>chain of custody</w:t>
      </w:r>
      <w:r w:rsidR="007E498C">
        <w:t xml:space="preserve"> </w:t>
      </w:r>
      <w:r w:rsidR="00226179">
        <w:t xml:space="preserve">for </w:t>
      </w:r>
      <w:r w:rsidR="007E498C">
        <w:t>information</w:t>
      </w:r>
      <w:r w:rsidRPr="00227CE9">
        <w:t xml:space="preserve"> from the field to the database.</w:t>
      </w:r>
    </w:p>
    <w:p w14:paraId="1DD33352" w14:textId="77777777" w:rsidR="00227CE9" w:rsidRPr="00227CE9" w:rsidRDefault="00227CE9" w:rsidP="00227CE9">
      <w:r w:rsidRPr="00227CE9">
        <w:rPr>
          <w:i/>
        </w:rPr>
        <w:t>“This is the first initiative of our partnership with REFLEX”,</w:t>
      </w:r>
      <w:r w:rsidRPr="00227CE9">
        <w:t xml:space="preserve"> said Steve Mundell, Director of Product at acQuire.</w:t>
      </w:r>
    </w:p>
    <w:p w14:paraId="58E7A5CF" w14:textId="14014C2B" w:rsidR="00227CE9" w:rsidRPr="00E136BF" w:rsidRDefault="00227CE9" w:rsidP="00227CE9">
      <w:pPr>
        <w:rPr>
          <w:i/>
        </w:rPr>
      </w:pPr>
      <w:r w:rsidRPr="00227CE9">
        <w:rPr>
          <w:i/>
        </w:rPr>
        <w:t>“The introduction of the integrated and automated workflow, means there is less man</w:t>
      </w:r>
      <w:r w:rsidR="007E498C">
        <w:rPr>
          <w:i/>
        </w:rPr>
        <w:t>ual</w:t>
      </w:r>
      <w:r w:rsidRPr="00227CE9">
        <w:rPr>
          <w:i/>
        </w:rPr>
        <w:t xml:space="preserve"> handling of data which can lead to data loss</w:t>
      </w:r>
      <w:r w:rsidR="007E498C">
        <w:rPr>
          <w:i/>
        </w:rPr>
        <w:t xml:space="preserve"> and bottlenecks in process</w:t>
      </w:r>
      <w:r w:rsidRPr="00227CE9">
        <w:rPr>
          <w:i/>
        </w:rPr>
        <w:t>. Improved data governance and data quality</w:t>
      </w:r>
      <w:r w:rsidR="007E498C">
        <w:rPr>
          <w:i/>
        </w:rPr>
        <w:t>, and streamlined access to trusted results</w:t>
      </w:r>
      <w:r w:rsidRPr="00227CE9">
        <w:rPr>
          <w:i/>
        </w:rPr>
        <w:t xml:space="preserve"> is the ultimate outcome and this is keystone to acQuire”. </w:t>
      </w:r>
    </w:p>
    <w:p w14:paraId="4089F230" w14:textId="052C9680" w:rsidR="00205E98" w:rsidRDefault="00205E98" w:rsidP="00205E98">
      <w:pPr>
        <w:rPr>
          <w:i/>
          <w:iCs/>
        </w:rPr>
      </w:pPr>
      <w:r>
        <w:t>REFLEX’s Global Manager for Integrated Solutions, Michelle Carey, said:</w:t>
      </w:r>
      <w:r>
        <w:rPr>
          <w:i/>
          <w:iCs/>
        </w:rPr>
        <w:t xml:space="preserve"> “We are excited about the partnership with acQuire and the value we can provide to our clients through the combination of the REFLEXHUB-IQ and acQuire’s GIM software. </w:t>
      </w:r>
    </w:p>
    <w:p w14:paraId="5877F3D7" w14:textId="3251BF81" w:rsidR="00205E98" w:rsidRPr="00205E98" w:rsidRDefault="00205E98" w:rsidP="00227CE9">
      <w:pPr>
        <w:rPr>
          <w:i/>
          <w:iCs/>
        </w:rPr>
      </w:pPr>
      <w:r>
        <w:rPr>
          <w:i/>
          <w:iCs/>
        </w:rPr>
        <w:t>Our own award winning REFLEXHUB-IQ is now connected to all our popular survey and core orientation tools, offering secure, reliable information instantly from the field to the office. With built-in QC at the time of data collection and secure chain of custody for data workflows, it offers our clients real-time access to valuable information to make instant decisions. Now with an integration into acQuire’s GIM software we can provide a complete geoscientific solution.”</w:t>
      </w:r>
    </w:p>
    <w:p w14:paraId="30E63AE1" w14:textId="77777777" w:rsidR="00226179" w:rsidRDefault="00226179" w:rsidP="00227CE9">
      <w:pPr>
        <w:pStyle w:val="NormalWeb"/>
        <w:rPr>
          <w:rFonts w:ascii="Calibri" w:eastAsiaTheme="minorHAnsi" w:hAnsi="Calibri" w:cstheme="minorBidi"/>
          <w:bCs/>
          <w:color w:val="54585A"/>
          <w:sz w:val="20"/>
          <w:szCs w:val="22"/>
          <w:lang w:eastAsia="en-US"/>
        </w:rPr>
      </w:pPr>
      <w:r>
        <w:rPr>
          <w:rFonts w:ascii="Calibri" w:eastAsiaTheme="minorHAnsi" w:hAnsi="Calibri" w:cstheme="minorBidi"/>
          <w:bCs/>
          <w:color w:val="54585A"/>
          <w:sz w:val="20"/>
          <w:szCs w:val="22"/>
          <w:lang w:eastAsia="en-US"/>
        </w:rPr>
        <w:t xml:space="preserve">Customers of acQuire and REFLEX will start to benefit from the integration when it is launched in an upcoming release of GIM Suite. </w:t>
      </w:r>
    </w:p>
    <w:p w14:paraId="6C92ECBD" w14:textId="0B6DA23B" w:rsidR="00227CE9" w:rsidRPr="00227CE9" w:rsidRDefault="00227CE9" w:rsidP="00227CE9">
      <w:pPr>
        <w:pStyle w:val="NormalWeb"/>
        <w:rPr>
          <w:rFonts w:ascii="Calibri" w:eastAsiaTheme="minorHAnsi" w:hAnsi="Calibri" w:cstheme="minorBidi"/>
          <w:bCs/>
          <w:color w:val="54585A"/>
          <w:sz w:val="20"/>
          <w:szCs w:val="22"/>
          <w:lang w:eastAsia="en-US"/>
        </w:rPr>
      </w:pPr>
      <w:r w:rsidRPr="00227CE9">
        <w:rPr>
          <w:rFonts w:ascii="Calibri" w:eastAsiaTheme="minorHAnsi" w:hAnsi="Calibri" w:cstheme="minorBidi"/>
          <w:bCs/>
          <w:color w:val="54585A"/>
          <w:sz w:val="20"/>
          <w:szCs w:val="22"/>
          <w:lang w:eastAsia="en-US"/>
        </w:rPr>
        <w:t xml:space="preserve">The technology partnership is another step in providing acQuire customers with a greater level of connectivity in their operations. </w:t>
      </w:r>
      <w:r>
        <w:rPr>
          <w:rFonts w:ascii="Calibri" w:eastAsiaTheme="minorHAnsi" w:hAnsi="Calibri" w:cstheme="minorBidi"/>
          <w:bCs/>
          <w:color w:val="54585A"/>
          <w:sz w:val="20"/>
          <w:szCs w:val="22"/>
          <w:lang w:eastAsia="en-US"/>
        </w:rPr>
        <w:t>REFLEX</w:t>
      </w:r>
      <w:r w:rsidRPr="00227CE9">
        <w:rPr>
          <w:rFonts w:ascii="Calibri" w:eastAsiaTheme="minorHAnsi" w:hAnsi="Calibri" w:cstheme="minorBidi"/>
          <w:bCs/>
          <w:color w:val="54585A"/>
          <w:sz w:val="20"/>
          <w:szCs w:val="22"/>
          <w:lang w:eastAsia="en-US"/>
        </w:rPr>
        <w:t xml:space="preserve"> joins other established acQuire technology partners including </w:t>
      </w:r>
      <w:r>
        <w:rPr>
          <w:rFonts w:ascii="Calibri" w:eastAsiaTheme="minorHAnsi" w:hAnsi="Calibri" w:cstheme="minorBidi"/>
          <w:bCs/>
          <w:color w:val="54585A"/>
          <w:sz w:val="20"/>
          <w:szCs w:val="22"/>
          <w:lang w:eastAsia="en-US"/>
        </w:rPr>
        <w:t xml:space="preserve">Esri, </w:t>
      </w:r>
      <w:r w:rsidRPr="00227CE9">
        <w:rPr>
          <w:rFonts w:ascii="Calibri" w:eastAsiaTheme="minorHAnsi" w:hAnsi="Calibri" w:cstheme="minorBidi"/>
          <w:bCs/>
          <w:color w:val="54585A"/>
          <w:sz w:val="20"/>
          <w:szCs w:val="22"/>
          <w:lang w:eastAsia="en-US"/>
        </w:rPr>
        <w:t>ARANZ Geo, Maptek, Corescan, ALS Limited, and Geovariances.</w:t>
      </w:r>
    </w:p>
    <w:p w14:paraId="5B910B57" w14:textId="77A8BED1" w:rsidR="00227CE9" w:rsidRPr="00227CE9" w:rsidRDefault="00227CE9" w:rsidP="00147A07">
      <w:pPr>
        <w:pStyle w:val="Heading4"/>
      </w:pPr>
      <w:r w:rsidRPr="00227CE9">
        <w:t>For more details</w:t>
      </w:r>
      <w:r w:rsidR="00834A37">
        <w:t>:</w:t>
      </w:r>
    </w:p>
    <w:p w14:paraId="74C37462" w14:textId="6EBF061F" w:rsidR="00227CE9" w:rsidRPr="00147A07" w:rsidRDefault="00227CE9" w:rsidP="00227CE9">
      <w:pPr>
        <w:rPr>
          <w:bCs/>
        </w:rPr>
      </w:pPr>
      <w:r w:rsidRPr="00227CE9">
        <w:rPr>
          <w:bCs/>
        </w:rPr>
        <w:t>acQuire technology partnerships: </w:t>
      </w:r>
      <w:hyperlink r:id="rId13" w:history="1">
        <w:r w:rsidRPr="00227CE9">
          <w:rPr>
            <w:rStyle w:val="Hyperlink"/>
            <w:bCs/>
          </w:rPr>
          <w:t>https://www.acquire.com.au/technology/technology-partners/</w:t>
        </w:r>
      </w:hyperlink>
    </w:p>
    <w:p w14:paraId="0954D1DC" w14:textId="77777777" w:rsidR="00227CE9" w:rsidRPr="00227CE9" w:rsidRDefault="00227CE9" w:rsidP="00147A07">
      <w:pPr>
        <w:pStyle w:val="Heading3"/>
        <w:rPr>
          <w:lang w:val="en-US"/>
        </w:rPr>
      </w:pPr>
      <w:r w:rsidRPr="00227CE9">
        <w:rPr>
          <w:lang w:val="en-US"/>
        </w:rPr>
        <w:t>About acQuire:</w:t>
      </w:r>
    </w:p>
    <w:p w14:paraId="16039AF3" w14:textId="77777777" w:rsidR="00227CE9" w:rsidRDefault="00227CE9" w:rsidP="00227CE9">
      <w:pPr>
        <w:rPr>
          <w:lang w:val="en-US"/>
        </w:rPr>
      </w:pPr>
      <w:r w:rsidRPr="00227CE9">
        <w:rPr>
          <w:lang w:val="en-US"/>
        </w:rPr>
        <w:t>In 1996, acQuire launched Geoscientific Information Management (GIM) software solutions for the natural resources industries, focusing on exploration, resource development and mining assets.  Due to an ongoing commitment to excellence, acQuire reinvests 20-25% of their annual revenue into research and development. The company currently employs over 100 staff working in five offices around the globe, with support centers operating in each major time zone. More than 450 sites benefit from acQuire GIM solutions.</w:t>
      </w:r>
    </w:p>
    <w:p w14:paraId="03F9735C" w14:textId="77777777" w:rsidR="00147A07" w:rsidRDefault="003A637C" w:rsidP="00147A07">
      <w:pPr>
        <w:pStyle w:val="Heading4"/>
        <w:rPr>
          <w:lang w:val="en-US"/>
        </w:rPr>
      </w:pPr>
      <w:r w:rsidRPr="00147A07">
        <w:rPr>
          <w:lang w:val="en-US"/>
        </w:rPr>
        <w:t>Contact:</w:t>
      </w:r>
    </w:p>
    <w:p w14:paraId="235C0E55" w14:textId="13CB3A89" w:rsidR="00227CE9" w:rsidRPr="00147A07" w:rsidRDefault="003A637C" w:rsidP="00147A07">
      <w:pPr>
        <w:rPr>
          <w:lang w:val="en-US"/>
        </w:rPr>
      </w:pPr>
      <w:r>
        <w:rPr>
          <w:lang w:val="en-US"/>
        </w:rPr>
        <w:t>Steve Mundell</w:t>
      </w:r>
      <w:r>
        <w:rPr>
          <w:lang w:val="en-US"/>
        </w:rPr>
        <w:br/>
        <w:t>Director of Product</w:t>
      </w:r>
      <w:r>
        <w:rPr>
          <w:lang w:val="en-US"/>
        </w:rPr>
        <w:br/>
      </w:r>
      <w:r>
        <w:rPr>
          <w:lang w:val="en-US"/>
        </w:rPr>
        <w:lastRenderedPageBreak/>
        <w:t xml:space="preserve">e: </w:t>
      </w:r>
      <w:hyperlink r:id="rId14" w:history="1">
        <w:r w:rsidRPr="00FA0A92">
          <w:rPr>
            <w:rStyle w:val="Hyperlink"/>
            <w:lang w:val="en-US"/>
          </w:rPr>
          <w:t>info@acquire.com.au</w:t>
        </w:r>
      </w:hyperlink>
      <w:r>
        <w:rPr>
          <w:lang w:val="en-US"/>
        </w:rPr>
        <w:br/>
        <w:t>T: +618 93166600</w:t>
      </w:r>
    </w:p>
    <w:p w14:paraId="1D9E933F" w14:textId="77777777" w:rsidR="00227CE9" w:rsidRPr="00227CE9" w:rsidRDefault="00227CE9" w:rsidP="00147A07">
      <w:pPr>
        <w:pStyle w:val="Heading3"/>
        <w:rPr>
          <w:lang w:val="en-US"/>
        </w:rPr>
      </w:pPr>
      <w:r w:rsidRPr="00227CE9">
        <w:rPr>
          <w:lang w:val="en-US"/>
        </w:rPr>
        <w:t>About REFLEX</w:t>
      </w:r>
    </w:p>
    <w:p w14:paraId="64DCE561" w14:textId="253666E3" w:rsidR="0033653D" w:rsidRPr="0033653D" w:rsidRDefault="0033653D" w:rsidP="00205E98">
      <w:pPr>
        <w:rPr>
          <w:rFonts w:cstheme="minorHAnsi"/>
          <w:szCs w:val="24"/>
        </w:rPr>
      </w:pPr>
      <w:r w:rsidRPr="006469A8">
        <w:rPr>
          <w:rFonts w:cstheme="minorHAnsi"/>
          <w:szCs w:val="24"/>
        </w:rPr>
        <w:t>REFLEX is the leader in real-time sub-surface intelligence solutions for the minerals industry globally.</w:t>
      </w:r>
      <w:r>
        <w:rPr>
          <w:rFonts w:cstheme="minorHAnsi"/>
          <w:szCs w:val="24"/>
        </w:rPr>
        <w:t xml:space="preserve"> REFLEX’s </w:t>
      </w:r>
      <w:r w:rsidRPr="006469A8">
        <w:rPr>
          <w:rFonts w:cstheme="minorHAnsi"/>
          <w:szCs w:val="24"/>
        </w:rPr>
        <w:t>technologies are acknowledged for their ease of use and accuracy and are complemented by unrivalled expertise in geo-scientific data analysis and interpretation.  REFLEX</w:t>
      </w:r>
      <w:r>
        <w:rPr>
          <w:rFonts w:cstheme="minorHAnsi"/>
          <w:szCs w:val="24"/>
        </w:rPr>
        <w:t>HUB-IQ</w:t>
      </w:r>
      <w:r w:rsidRPr="006469A8">
        <w:rPr>
          <w:rFonts w:cstheme="minorHAnsi"/>
          <w:szCs w:val="24"/>
        </w:rPr>
        <w:t xml:space="preserve"> forms the backbone of REFLEX’s solutions, providing secure access to relevant information, anywhere, any time.</w:t>
      </w:r>
      <w:r w:rsidRPr="000E06A8">
        <w:t xml:space="preserve"> </w:t>
      </w:r>
      <w:r>
        <w:t xml:space="preserve">The company continues to be the leading developer of innovative solutions within the minerals sector. </w:t>
      </w:r>
      <w:r w:rsidRPr="00161BBF">
        <w:t xml:space="preserve">For further information visit </w:t>
      </w:r>
      <w:hyperlink r:id="rId15" w:history="1">
        <w:r w:rsidRPr="00161BBF">
          <w:rPr>
            <w:rStyle w:val="Hyperlink"/>
          </w:rPr>
          <w:t>www.reflexnow.com</w:t>
        </w:r>
      </w:hyperlink>
    </w:p>
    <w:p w14:paraId="71C3D4F5" w14:textId="4D9BC1CD" w:rsidR="00205E98" w:rsidRDefault="0033653D" w:rsidP="00205E98">
      <w:r>
        <w:t xml:space="preserve">REFLEX is part of the IMDEX Group, a </w:t>
      </w:r>
      <w:r w:rsidR="00205E98">
        <w:t xml:space="preserve">leading global mining equipment, technology and services – or METS – company. Our solution sets improve the process of identifying and extracting what is below the earth’s surface for drilling contractors and resource companies – we let clients know where it is and what it is, now. </w:t>
      </w:r>
    </w:p>
    <w:p w14:paraId="0BBF4F76" w14:textId="5B6F4DE6" w:rsidR="00823DF4" w:rsidRPr="00147A07" w:rsidRDefault="00205E98" w:rsidP="00147A07">
      <w:pPr>
        <w:jc w:val="both"/>
        <w:rPr>
          <w:color w:val="000000" w:themeColor="hyperlink"/>
          <w:u w:val="single"/>
        </w:rPr>
      </w:pPr>
      <w:r>
        <w:t>Our company delivers these</w:t>
      </w:r>
      <w:r w:rsidRPr="00161BBF">
        <w:t xml:space="preserve"> solutions sets</w:t>
      </w:r>
      <w:r>
        <w:t>; downhole navigation; structural geology; drilling optimisation, in-field geoanalysis; and driller operable geophysics,</w:t>
      </w:r>
      <w:r w:rsidRPr="00161BBF">
        <w:t xml:space="preserve"> to the global minerals industry and targeted non-mining applications</w:t>
      </w:r>
      <w:r>
        <w:t xml:space="preserve"> via our</w:t>
      </w:r>
      <w:r w:rsidRPr="00161BBF">
        <w:t xml:space="preserve"> REFLEX and AMC brands.</w:t>
      </w:r>
      <w:r w:rsidRPr="00952C6F">
        <w:t xml:space="preserve"> </w:t>
      </w:r>
      <w:r>
        <w:t xml:space="preserve">Together, our products and technologies assist clients to reduce their costs and increase their productivity by providing end-to-end solutions across the full mining life cycle. </w:t>
      </w:r>
      <w:r w:rsidRPr="00161BBF">
        <w:t xml:space="preserve">For further information visit </w:t>
      </w:r>
      <w:hyperlink r:id="rId16" w:history="1">
        <w:r w:rsidRPr="00161BBF">
          <w:rPr>
            <w:rStyle w:val="Hyperlink"/>
          </w:rPr>
          <w:t>www.imdexlimited.com</w:t>
        </w:r>
      </w:hyperlink>
    </w:p>
    <w:p w14:paraId="504DCCB0" w14:textId="77777777" w:rsidR="0033653D" w:rsidRPr="0033653D" w:rsidRDefault="0033653D" w:rsidP="00147A07">
      <w:pPr>
        <w:pStyle w:val="Heading4"/>
      </w:pPr>
      <w:r w:rsidRPr="0033653D">
        <w:t xml:space="preserve">REFLEX Contact: </w:t>
      </w:r>
    </w:p>
    <w:p w14:paraId="53B25F5E" w14:textId="3FCB5C82" w:rsidR="0033653D" w:rsidRPr="0033653D" w:rsidRDefault="0033653D" w:rsidP="0033653D">
      <w:pPr>
        <w:rPr>
          <w:rFonts w:asciiTheme="minorHAnsi" w:hAnsiTheme="minorHAnsi" w:cstheme="minorHAnsi"/>
          <w:color w:val="auto"/>
          <w:szCs w:val="20"/>
        </w:rPr>
      </w:pPr>
      <w:r w:rsidRPr="0033653D">
        <w:rPr>
          <w:rFonts w:cstheme="minorHAnsi"/>
          <w:color w:val="auto"/>
        </w:rPr>
        <w:t xml:space="preserve">Michelle Carey </w:t>
      </w:r>
      <w:hyperlink r:id="rId17" w:history="1">
        <w:r w:rsidR="00834A37" w:rsidRPr="00E14AC6">
          <w:rPr>
            <w:rStyle w:val="Hyperlink"/>
            <w:rFonts w:asciiTheme="minorHAnsi" w:hAnsiTheme="minorHAnsi" w:cstheme="minorHAnsi"/>
            <w:szCs w:val="20"/>
          </w:rPr>
          <w:t>michelle.carey@imdexlimited.com</w:t>
        </w:r>
      </w:hyperlink>
      <w:r w:rsidRPr="0033653D">
        <w:rPr>
          <w:rFonts w:asciiTheme="minorHAnsi" w:hAnsiTheme="minorHAnsi" w:cstheme="minorHAnsi"/>
          <w:color w:val="auto"/>
          <w:szCs w:val="20"/>
        </w:rPr>
        <w:t xml:space="preserve">  tel: +</w:t>
      </w:r>
      <w:r w:rsidRPr="0033653D">
        <w:rPr>
          <w:rFonts w:asciiTheme="minorHAnsi" w:hAnsiTheme="minorHAnsi" w:cstheme="minorHAnsi"/>
          <w:color w:val="auto"/>
          <w:szCs w:val="20"/>
          <w:lang w:eastAsia="en-AU"/>
        </w:rPr>
        <w:t xml:space="preserve"> 61 408 330 543 </w:t>
      </w:r>
    </w:p>
    <w:p w14:paraId="7D017468" w14:textId="77777777" w:rsidR="0033653D" w:rsidRPr="0033653D" w:rsidRDefault="0033653D" w:rsidP="0033653D">
      <w:pPr>
        <w:rPr>
          <w:rFonts w:cstheme="minorHAnsi"/>
          <w:color w:val="auto"/>
        </w:rPr>
      </w:pPr>
      <w:r w:rsidRPr="0033653D">
        <w:rPr>
          <w:rFonts w:cstheme="minorHAnsi"/>
          <w:color w:val="auto"/>
        </w:rPr>
        <w:t xml:space="preserve">Diane Porteous: </w:t>
      </w:r>
      <w:hyperlink r:id="rId18" w:history="1">
        <w:r w:rsidRPr="0033653D">
          <w:rPr>
            <w:rStyle w:val="Hyperlink"/>
            <w:rFonts w:cstheme="minorHAnsi"/>
            <w:color w:val="auto"/>
          </w:rPr>
          <w:t>diane.porteous@imdexlimited.com</w:t>
        </w:r>
      </w:hyperlink>
      <w:r w:rsidRPr="0033653D">
        <w:rPr>
          <w:rFonts w:cstheme="minorHAnsi"/>
          <w:color w:val="auto"/>
        </w:rPr>
        <w:t>, tel: +61 401392163</w:t>
      </w:r>
    </w:p>
    <w:p w14:paraId="625ACBEA" w14:textId="77777777" w:rsidR="0033653D" w:rsidRPr="00227CE9" w:rsidRDefault="0033653D" w:rsidP="00227CE9"/>
    <w:sectPr w:rsidR="0033653D" w:rsidRPr="00227CE9" w:rsidSect="00581AF5">
      <w:headerReference w:type="default" r:id="rId19"/>
      <w:footerReference w:type="default" r:id="rId20"/>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2012FD" w14:textId="77777777" w:rsidR="00517BA8" w:rsidRDefault="00517BA8" w:rsidP="00F74D1B">
      <w:r>
        <w:separator/>
      </w:r>
    </w:p>
    <w:p w14:paraId="3B855ACA" w14:textId="77777777" w:rsidR="00517BA8" w:rsidRDefault="00517BA8" w:rsidP="00F74D1B"/>
    <w:p w14:paraId="05F8C589" w14:textId="77777777" w:rsidR="00517BA8" w:rsidRDefault="00517BA8" w:rsidP="00F74D1B"/>
  </w:endnote>
  <w:endnote w:type="continuationSeparator" w:id="0">
    <w:p w14:paraId="3C4660AF" w14:textId="77777777" w:rsidR="00517BA8" w:rsidRDefault="00517BA8" w:rsidP="00F74D1B">
      <w:r>
        <w:continuationSeparator/>
      </w:r>
    </w:p>
    <w:p w14:paraId="72F7FA14" w14:textId="77777777" w:rsidR="00517BA8" w:rsidRDefault="00517BA8" w:rsidP="00F74D1B"/>
    <w:p w14:paraId="2E41CFAC" w14:textId="77777777" w:rsidR="00517BA8" w:rsidRDefault="00517BA8" w:rsidP="00F74D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MyriadPro-Bold">
    <w:altName w:val="Myriad Pro"/>
    <w:charset w:val="00"/>
    <w:family w:val="auto"/>
    <w:pitch w:val="variable"/>
    <w:sig w:usb0="00000001" w:usb1="00000001"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D6D16" w14:textId="45A9D858" w:rsidR="00EF1021" w:rsidRDefault="00F451FC" w:rsidP="00F74D1B">
    <w:pPr>
      <w:pStyle w:val="Footer"/>
    </w:pPr>
    <w:r>
      <w:rPr>
        <w:noProof/>
        <w:lang w:val="en-US"/>
      </w:rPr>
      <mc:AlternateContent>
        <mc:Choice Requires="wps">
          <w:drawing>
            <wp:anchor distT="0" distB="0" distL="114300" distR="114300" simplePos="0" relativeHeight="251659264" behindDoc="1" locked="0" layoutInCell="1" allowOverlap="1" wp14:anchorId="4CB6665C" wp14:editId="0C81B8D5">
              <wp:simplePos x="0" y="0"/>
              <wp:positionH relativeFrom="column">
                <wp:posOffset>6188075</wp:posOffset>
              </wp:positionH>
              <wp:positionV relativeFrom="paragraph">
                <wp:posOffset>116840</wp:posOffset>
              </wp:positionV>
              <wp:extent cx="914400" cy="914400"/>
              <wp:effectExtent l="0" t="0" r="0" b="0"/>
              <wp:wrapNone/>
              <wp:docPr id="3" name="Oval 3"/>
              <wp:cNvGraphicFramePr/>
              <a:graphic xmlns:a="http://schemas.openxmlformats.org/drawingml/2006/main">
                <a:graphicData uri="http://schemas.microsoft.com/office/word/2010/wordprocessingShape">
                  <wps:wsp>
                    <wps:cNvSpPr/>
                    <wps:spPr>
                      <a:xfrm>
                        <a:off x="0" y="0"/>
                        <a:ext cx="914400" cy="914400"/>
                      </a:xfrm>
                      <a:prstGeom prst="ellipse">
                        <a:avLst/>
                      </a:prstGeom>
                      <a:solidFill>
                        <a:srgbClr val="EE334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828FCE" id="Oval 3" o:spid="_x0000_s1026" style="position:absolute;margin-left:487.25pt;margin-top:9.2pt;width:1in;height:1in;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" fillcolor="#ee3342" stroked="f" strokeweight="2pt"/>
          </w:pict>
        </mc:Fallback>
      </mc:AlternateContent>
    </w:r>
    <w:r w:rsidR="00517BA8">
      <w:fldChar w:fldCharType="begin"/>
    </w:r>
    <w:r w:rsidR="00517BA8">
      <w:instrText xml:space="preserve"> FILENAME   \* MERGEFORMAT </w:instrText>
    </w:r>
    <w:r w:rsidR="00517BA8">
      <w:fldChar w:fldCharType="separate"/>
    </w:r>
    <w:r w:rsidR="0033653D">
      <w:rPr>
        <w:noProof/>
      </w:rPr>
      <w:t xml:space="preserve">News Release acQuire and Reflex Tech Partnership </w:t>
    </w:r>
    <w:r w:rsidR="005801F4">
      <w:rPr>
        <w:noProof/>
      </w:rPr>
      <w:t>27</w:t>
    </w:r>
    <w:r w:rsidR="0033653D">
      <w:rPr>
        <w:noProof/>
      </w:rPr>
      <w:t xml:space="preserve"> Sept 2017.docx</w:t>
    </w:r>
    <w:r w:rsidR="00517BA8">
      <w:rPr>
        <w:noProof/>
      </w:rPr>
      <w:fldChar w:fldCharType="end"/>
    </w:r>
    <w:sdt>
      <w:sdtPr>
        <w:id w:val="678543044"/>
        <w:docPartObj>
          <w:docPartGallery w:val="Page Numbers (Bottom of Page)"/>
          <w:docPartUnique/>
        </w:docPartObj>
      </w:sdtPr>
      <w:sdtEndPr/>
      <w:sdtContent>
        <w:r w:rsidR="00EF1021">
          <w:tab/>
        </w:r>
        <w:r w:rsidR="00EA742C">
          <w:tab/>
        </w:r>
        <w:r w:rsidR="002C1741">
          <w:fldChar w:fldCharType="begin"/>
        </w:r>
        <w:r w:rsidR="002C1741">
          <w:instrText xml:space="preserve"> PAGE  \* Arabic  \* MERGEFORMAT </w:instrText>
        </w:r>
        <w:r w:rsidR="002C1741">
          <w:fldChar w:fldCharType="separate"/>
        </w:r>
        <w:r w:rsidR="000A5E2F">
          <w:rPr>
            <w:noProof/>
          </w:rPr>
          <w:t>1</w:t>
        </w:r>
        <w:r w:rsidR="002C1741">
          <w:rPr>
            <w:noProof/>
          </w:rPr>
          <w:fldChar w:fldCharType="end"/>
        </w:r>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358AE2" w14:textId="77777777" w:rsidR="00517BA8" w:rsidRDefault="00517BA8" w:rsidP="00F74D1B">
      <w:r>
        <w:separator/>
      </w:r>
    </w:p>
    <w:p w14:paraId="6E1DDDD6" w14:textId="77777777" w:rsidR="00517BA8" w:rsidRDefault="00517BA8" w:rsidP="00F74D1B"/>
    <w:p w14:paraId="0AD43D80" w14:textId="77777777" w:rsidR="00517BA8" w:rsidRDefault="00517BA8" w:rsidP="00F74D1B"/>
  </w:footnote>
  <w:footnote w:type="continuationSeparator" w:id="0">
    <w:p w14:paraId="682FCF97" w14:textId="77777777" w:rsidR="00517BA8" w:rsidRDefault="00517BA8" w:rsidP="00F74D1B">
      <w:r>
        <w:continuationSeparator/>
      </w:r>
    </w:p>
    <w:p w14:paraId="0D3BC66D" w14:textId="77777777" w:rsidR="00517BA8" w:rsidRDefault="00517BA8" w:rsidP="00F74D1B"/>
    <w:p w14:paraId="4937ECA8" w14:textId="77777777" w:rsidR="00517BA8" w:rsidRDefault="00517BA8" w:rsidP="00F74D1B"/>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D5323" w14:textId="77777777" w:rsidR="00B16161" w:rsidRDefault="00D04843" w:rsidP="00CF66DD">
    <w:pPr>
      <w:pStyle w:val="Header"/>
    </w:pPr>
    <w:r>
      <w:rPr>
        <w:noProof/>
        <w:lang w:val="en-US"/>
      </w:rPr>
      <w:drawing>
        <wp:inline distT="0" distB="0" distL="0" distR="0" wp14:anchorId="436391D8" wp14:editId="5DDEF052">
          <wp:extent cx="1325646" cy="36000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port_inside_redlogo.png"/>
                  <pic:cNvPicPr/>
                </pic:nvPicPr>
                <pic:blipFill rotWithShape="1">
                  <a:blip r:embed="rId1">
                    <a:extLst>
                      <a:ext uri="{28A0092B-C50C-407E-A947-70E740481C1C}">
                        <a14:useLocalDpi xmlns:a14="http://schemas.microsoft.com/office/drawing/2010/main" val="0"/>
                      </a:ext>
                    </a:extLst>
                  </a:blip>
                  <a:srcRect l="4413" r="3529"/>
                  <a:stretch/>
                </pic:blipFill>
                <pic:spPr bwMode="auto">
                  <a:xfrm>
                    <a:off x="0" y="0"/>
                    <a:ext cx="1325646" cy="36000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81C170E"/>
    <w:lvl w:ilvl="0">
      <w:start w:val="1"/>
      <w:numFmt w:val="decimal"/>
      <w:lvlText w:val="%1."/>
      <w:lvlJc w:val="left"/>
      <w:pPr>
        <w:tabs>
          <w:tab w:val="num" w:pos="1800"/>
        </w:tabs>
        <w:ind w:left="1800" w:hanging="360"/>
      </w:pPr>
    </w:lvl>
  </w:abstractNum>
  <w:abstractNum w:abstractNumId="1">
    <w:nsid w:val="FFFFFF7D"/>
    <w:multiLevelType w:val="singleLevel"/>
    <w:tmpl w:val="84B81E2E"/>
    <w:lvl w:ilvl="0">
      <w:start w:val="1"/>
      <w:numFmt w:val="decimal"/>
      <w:lvlText w:val="%1."/>
      <w:lvlJc w:val="left"/>
      <w:pPr>
        <w:tabs>
          <w:tab w:val="num" w:pos="1440"/>
        </w:tabs>
        <w:ind w:left="1440" w:hanging="360"/>
      </w:pPr>
    </w:lvl>
  </w:abstractNum>
  <w:abstractNum w:abstractNumId="2">
    <w:nsid w:val="FFFFFF7E"/>
    <w:multiLevelType w:val="singleLevel"/>
    <w:tmpl w:val="6254C3BC"/>
    <w:lvl w:ilvl="0">
      <w:start w:val="1"/>
      <w:numFmt w:val="decimal"/>
      <w:lvlText w:val="%1."/>
      <w:lvlJc w:val="left"/>
      <w:pPr>
        <w:tabs>
          <w:tab w:val="num" w:pos="1080"/>
        </w:tabs>
        <w:ind w:left="1080" w:hanging="360"/>
      </w:pPr>
    </w:lvl>
  </w:abstractNum>
  <w:abstractNum w:abstractNumId="3">
    <w:nsid w:val="FFFFFF7F"/>
    <w:multiLevelType w:val="singleLevel"/>
    <w:tmpl w:val="F5820320"/>
    <w:lvl w:ilvl="0">
      <w:start w:val="1"/>
      <w:numFmt w:val="decimal"/>
      <w:lvlText w:val="%1."/>
      <w:lvlJc w:val="left"/>
      <w:pPr>
        <w:tabs>
          <w:tab w:val="num" w:pos="720"/>
        </w:tabs>
        <w:ind w:left="720" w:hanging="360"/>
      </w:pPr>
    </w:lvl>
  </w:abstractNum>
  <w:abstractNum w:abstractNumId="4">
    <w:nsid w:val="FFFFFF80"/>
    <w:multiLevelType w:val="singleLevel"/>
    <w:tmpl w:val="7E668D1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CBC1AA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EE1E2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0FE3D8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FB0E442"/>
    <w:lvl w:ilvl="0">
      <w:start w:val="1"/>
      <w:numFmt w:val="decimal"/>
      <w:lvlText w:val="%1."/>
      <w:lvlJc w:val="left"/>
      <w:pPr>
        <w:tabs>
          <w:tab w:val="num" w:pos="360"/>
        </w:tabs>
        <w:ind w:left="360" w:hanging="360"/>
      </w:pPr>
    </w:lvl>
  </w:abstractNum>
  <w:abstractNum w:abstractNumId="9">
    <w:nsid w:val="FFFFFF89"/>
    <w:multiLevelType w:val="singleLevel"/>
    <w:tmpl w:val="10DE7F58"/>
    <w:lvl w:ilvl="0">
      <w:start w:val="1"/>
      <w:numFmt w:val="bullet"/>
      <w:lvlText w:val=""/>
      <w:lvlJc w:val="left"/>
      <w:pPr>
        <w:tabs>
          <w:tab w:val="num" w:pos="360"/>
        </w:tabs>
        <w:ind w:left="360" w:hanging="360"/>
      </w:pPr>
      <w:rPr>
        <w:rFonts w:ascii="Symbol" w:hAnsi="Symbol" w:hint="default"/>
      </w:rPr>
    </w:lvl>
  </w:abstractNum>
  <w:abstractNum w:abstractNumId="10">
    <w:nsid w:val="06800856"/>
    <w:multiLevelType w:val="multilevel"/>
    <w:tmpl w:val="89AE5FCE"/>
    <w:lvl w:ilvl="0">
      <w:start w:val="1"/>
      <w:numFmt w:val="lowerRoman"/>
      <w:lvlText w:val="%1."/>
      <w:lvlJc w:val="left"/>
      <w:pPr>
        <w:ind w:left="170" w:firstLine="567"/>
      </w:pPr>
      <w:rPr>
        <w:rFonts w:hint="default"/>
        <w:color w:val="54585A"/>
      </w:rPr>
    </w:lvl>
    <w:lvl w:ilvl="1">
      <w:start w:val="1"/>
      <w:numFmt w:val="lowerLetter"/>
      <w:lvlText w:val="%2."/>
      <w:lvlJc w:val="left"/>
      <w:pPr>
        <w:ind w:left="454" w:firstLine="567"/>
      </w:pPr>
      <w:rPr>
        <w:rFonts w:hint="default"/>
      </w:rPr>
    </w:lvl>
    <w:lvl w:ilvl="2">
      <w:start w:val="1"/>
      <w:numFmt w:val="lowerRoman"/>
      <w:lvlText w:val="%3."/>
      <w:lvlJc w:val="right"/>
      <w:pPr>
        <w:ind w:left="738" w:firstLine="567"/>
      </w:pPr>
      <w:rPr>
        <w:rFonts w:hint="default"/>
      </w:rPr>
    </w:lvl>
    <w:lvl w:ilvl="3">
      <w:start w:val="1"/>
      <w:numFmt w:val="decimal"/>
      <w:lvlText w:val="%4."/>
      <w:lvlJc w:val="left"/>
      <w:pPr>
        <w:ind w:left="1022" w:firstLine="567"/>
      </w:pPr>
      <w:rPr>
        <w:rFonts w:hint="default"/>
      </w:rPr>
    </w:lvl>
    <w:lvl w:ilvl="4">
      <w:start w:val="1"/>
      <w:numFmt w:val="lowerLetter"/>
      <w:lvlText w:val="%5."/>
      <w:lvlJc w:val="left"/>
      <w:pPr>
        <w:ind w:left="1306" w:firstLine="567"/>
      </w:pPr>
      <w:rPr>
        <w:rFonts w:hint="default"/>
      </w:rPr>
    </w:lvl>
    <w:lvl w:ilvl="5">
      <w:start w:val="1"/>
      <w:numFmt w:val="lowerRoman"/>
      <w:lvlText w:val="%6."/>
      <w:lvlJc w:val="right"/>
      <w:pPr>
        <w:ind w:left="1590" w:firstLine="567"/>
      </w:pPr>
      <w:rPr>
        <w:rFonts w:hint="default"/>
      </w:rPr>
    </w:lvl>
    <w:lvl w:ilvl="6">
      <w:start w:val="1"/>
      <w:numFmt w:val="decimal"/>
      <w:lvlText w:val="%7."/>
      <w:lvlJc w:val="left"/>
      <w:pPr>
        <w:ind w:left="1874" w:firstLine="567"/>
      </w:pPr>
      <w:rPr>
        <w:rFonts w:hint="default"/>
      </w:rPr>
    </w:lvl>
    <w:lvl w:ilvl="7">
      <w:start w:val="1"/>
      <w:numFmt w:val="lowerLetter"/>
      <w:lvlText w:val="%8."/>
      <w:lvlJc w:val="left"/>
      <w:pPr>
        <w:ind w:left="2158" w:firstLine="567"/>
      </w:pPr>
      <w:rPr>
        <w:rFonts w:hint="default"/>
      </w:rPr>
    </w:lvl>
    <w:lvl w:ilvl="8">
      <w:start w:val="1"/>
      <w:numFmt w:val="lowerRoman"/>
      <w:lvlText w:val="%9."/>
      <w:lvlJc w:val="right"/>
      <w:pPr>
        <w:ind w:left="2442" w:firstLine="567"/>
      </w:pPr>
      <w:rPr>
        <w:rFonts w:hint="default"/>
      </w:rPr>
    </w:lvl>
  </w:abstractNum>
  <w:abstractNum w:abstractNumId="11">
    <w:nsid w:val="123A5F4A"/>
    <w:multiLevelType w:val="multilevel"/>
    <w:tmpl w:val="B9AA5B32"/>
    <w:lvl w:ilvl="0">
      <w:start w:val="1"/>
      <w:numFmt w:val="lowerRoman"/>
      <w:pStyle w:val="NumberedListL3"/>
      <w:lvlText w:val="%1."/>
      <w:lvlJc w:val="left"/>
      <w:pPr>
        <w:ind w:left="851" w:hanging="284"/>
      </w:pPr>
      <w:rPr>
        <w:rFonts w:hint="default"/>
        <w:color w:val="54585A"/>
      </w:rPr>
    </w:lvl>
    <w:lvl w:ilvl="1">
      <w:start w:val="1"/>
      <w:numFmt w:val="lowerLetter"/>
      <w:lvlText w:val="%2."/>
      <w:lvlJc w:val="left"/>
      <w:pPr>
        <w:ind w:left="1135" w:hanging="284"/>
      </w:pPr>
      <w:rPr>
        <w:rFonts w:hint="default"/>
      </w:rPr>
    </w:lvl>
    <w:lvl w:ilvl="2">
      <w:start w:val="1"/>
      <w:numFmt w:val="lowerRoman"/>
      <w:lvlText w:val="%3."/>
      <w:lvlJc w:val="right"/>
      <w:pPr>
        <w:ind w:left="1419" w:hanging="284"/>
      </w:pPr>
      <w:rPr>
        <w:rFonts w:hint="default"/>
      </w:rPr>
    </w:lvl>
    <w:lvl w:ilvl="3">
      <w:start w:val="1"/>
      <w:numFmt w:val="decimal"/>
      <w:lvlText w:val="%4."/>
      <w:lvlJc w:val="left"/>
      <w:pPr>
        <w:ind w:left="1703" w:hanging="284"/>
      </w:pPr>
      <w:rPr>
        <w:rFonts w:hint="default"/>
      </w:rPr>
    </w:lvl>
    <w:lvl w:ilvl="4">
      <w:start w:val="1"/>
      <w:numFmt w:val="lowerLetter"/>
      <w:lvlText w:val="%5."/>
      <w:lvlJc w:val="left"/>
      <w:pPr>
        <w:ind w:left="1987" w:hanging="284"/>
      </w:pPr>
      <w:rPr>
        <w:rFonts w:hint="default"/>
      </w:rPr>
    </w:lvl>
    <w:lvl w:ilvl="5">
      <w:start w:val="1"/>
      <w:numFmt w:val="lowerRoman"/>
      <w:lvlText w:val="%6."/>
      <w:lvlJc w:val="right"/>
      <w:pPr>
        <w:ind w:left="2271" w:hanging="284"/>
      </w:pPr>
      <w:rPr>
        <w:rFonts w:hint="default"/>
      </w:rPr>
    </w:lvl>
    <w:lvl w:ilvl="6">
      <w:start w:val="1"/>
      <w:numFmt w:val="decimal"/>
      <w:lvlText w:val="%7."/>
      <w:lvlJc w:val="left"/>
      <w:pPr>
        <w:ind w:left="2555" w:hanging="284"/>
      </w:pPr>
      <w:rPr>
        <w:rFonts w:hint="default"/>
      </w:rPr>
    </w:lvl>
    <w:lvl w:ilvl="7">
      <w:start w:val="1"/>
      <w:numFmt w:val="lowerLetter"/>
      <w:lvlText w:val="%8."/>
      <w:lvlJc w:val="left"/>
      <w:pPr>
        <w:ind w:left="2839" w:hanging="284"/>
      </w:pPr>
      <w:rPr>
        <w:rFonts w:hint="default"/>
      </w:rPr>
    </w:lvl>
    <w:lvl w:ilvl="8">
      <w:start w:val="1"/>
      <w:numFmt w:val="lowerRoman"/>
      <w:lvlText w:val="%9."/>
      <w:lvlJc w:val="right"/>
      <w:pPr>
        <w:ind w:left="3123" w:hanging="284"/>
      </w:pPr>
      <w:rPr>
        <w:rFonts w:hint="default"/>
      </w:rPr>
    </w:lvl>
  </w:abstractNum>
  <w:abstractNum w:abstractNumId="12">
    <w:nsid w:val="1706666D"/>
    <w:multiLevelType w:val="hybridMultilevel"/>
    <w:tmpl w:val="767612B4"/>
    <w:lvl w:ilvl="0" w:tplc="CAFEFE8E">
      <w:start w:val="1"/>
      <w:numFmt w:val="bullet"/>
      <w:pStyle w:val="Table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F82814"/>
    <w:multiLevelType w:val="hybridMultilevel"/>
    <w:tmpl w:val="6644DD7E"/>
    <w:lvl w:ilvl="0" w:tplc="F05CB4FA">
      <w:start w:val="1"/>
      <w:numFmt w:val="decimal"/>
      <w:pStyle w:val="TableNumb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CB724EC"/>
    <w:multiLevelType w:val="hybridMultilevel"/>
    <w:tmpl w:val="3E50EC46"/>
    <w:lvl w:ilvl="0" w:tplc="B718C014">
      <w:start w:val="1"/>
      <w:numFmt w:val="bullet"/>
      <w:pStyle w:val="ListParagraph"/>
      <w:lvlText w:val=""/>
      <w:lvlJc w:val="left"/>
      <w:pPr>
        <w:ind w:left="930" w:hanging="363"/>
      </w:pPr>
      <w:rPr>
        <w:rFonts w:ascii="Symbol" w:hAnsi="Symbol" w:hint="default"/>
        <w:color w:val="FF0000"/>
      </w:rPr>
    </w:lvl>
    <w:lvl w:ilvl="1" w:tplc="1410FC28">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D791D32"/>
    <w:multiLevelType w:val="hybridMultilevel"/>
    <w:tmpl w:val="893A1214"/>
    <w:lvl w:ilvl="0" w:tplc="EA488C80">
      <w:start w:val="1"/>
      <w:numFmt w:val="bullet"/>
      <w:pStyle w:val="BulletLevel2"/>
      <w:lvlText w:val="o"/>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3E561DFC"/>
    <w:multiLevelType w:val="multilevel"/>
    <w:tmpl w:val="D25A6C16"/>
    <w:lvl w:ilvl="0">
      <w:start w:val="1"/>
      <w:numFmt w:val="decimal"/>
      <w:pStyle w:val="NumberedListL1"/>
      <w:lvlText w:val="%1."/>
      <w:lvlJc w:val="left"/>
      <w:pPr>
        <w:ind w:left="284" w:hanging="284"/>
      </w:pPr>
      <w:rPr>
        <w:rFonts w:hint="default"/>
        <w:color w:val="54585A"/>
      </w:rPr>
    </w:lvl>
    <w:lvl w:ilvl="1">
      <w:start w:val="1"/>
      <w:numFmt w:val="bullet"/>
      <w:lvlText w:val="­"/>
      <w:lvlJc w:val="left"/>
      <w:pPr>
        <w:ind w:left="568" w:hanging="284"/>
      </w:pPr>
      <w:rPr>
        <w:rFonts w:ascii="Courier New" w:hAnsi="Courier New"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17">
    <w:nsid w:val="528D2021"/>
    <w:multiLevelType w:val="multilevel"/>
    <w:tmpl w:val="1B24B246"/>
    <w:lvl w:ilvl="0">
      <w:start w:val="1"/>
      <w:numFmt w:val="lowerLetter"/>
      <w:pStyle w:val="NumberedLIstL2"/>
      <w:lvlText w:val="%1."/>
      <w:lvlJc w:val="left"/>
      <w:pPr>
        <w:ind w:left="567" w:hanging="283"/>
      </w:pPr>
      <w:rPr>
        <w:rFonts w:hint="default"/>
        <w:b w:val="0"/>
        <w:bCs w:val="0"/>
        <w:i w:val="0"/>
        <w:iCs w:val="0"/>
        <w:caps w:val="0"/>
        <w:strike w:val="0"/>
        <w:dstrike w:val="0"/>
        <w:vanish w:val="0"/>
        <w:color w:val="54585A"/>
        <w:spacing w:val="0"/>
        <w:kern w:val="0"/>
        <w:position w:val="0"/>
        <w:u w:val="none"/>
        <w:vertAlign w:val="baseline"/>
        <w:em w:val="none"/>
      </w:rPr>
    </w:lvl>
    <w:lvl w:ilvl="1">
      <w:start w:val="1"/>
      <w:numFmt w:val="lowerLetter"/>
      <w:lvlText w:val="%2."/>
      <w:lvlJc w:val="left"/>
      <w:pPr>
        <w:ind w:left="851" w:hanging="283"/>
      </w:pPr>
      <w:rPr>
        <w:rFonts w:hint="default"/>
      </w:rPr>
    </w:lvl>
    <w:lvl w:ilvl="2">
      <w:start w:val="1"/>
      <w:numFmt w:val="lowerRoman"/>
      <w:lvlText w:val="%3."/>
      <w:lvlJc w:val="left"/>
      <w:pPr>
        <w:ind w:left="1135" w:hanging="283"/>
      </w:pPr>
      <w:rPr>
        <w:rFonts w:hint="default"/>
      </w:rPr>
    </w:lvl>
    <w:lvl w:ilvl="3">
      <w:start w:val="1"/>
      <w:numFmt w:val="decimal"/>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Roman"/>
      <w:lvlText w:val="%6."/>
      <w:lvlJc w:val="right"/>
      <w:pPr>
        <w:ind w:left="1987" w:hanging="283"/>
      </w:pPr>
      <w:rPr>
        <w:rFonts w:hint="default"/>
      </w:rPr>
    </w:lvl>
    <w:lvl w:ilvl="6">
      <w:start w:val="1"/>
      <w:numFmt w:val="decimal"/>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Roman"/>
      <w:lvlText w:val="%9."/>
      <w:lvlJc w:val="right"/>
      <w:pPr>
        <w:ind w:left="2839" w:hanging="283"/>
      </w:pPr>
      <w:rPr>
        <w:rFonts w:hint="default"/>
      </w:rPr>
    </w:lvl>
  </w:abstractNum>
  <w:abstractNum w:abstractNumId="18">
    <w:nsid w:val="5F3F42D7"/>
    <w:multiLevelType w:val="hybridMultilevel"/>
    <w:tmpl w:val="CC603662"/>
    <w:lvl w:ilvl="0" w:tplc="C9CE8DC8">
      <w:start w:val="1"/>
      <w:numFmt w:val="bullet"/>
      <w:pStyle w:val="NoteBody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2AC3D28"/>
    <w:multiLevelType w:val="hybridMultilevel"/>
    <w:tmpl w:val="B7666C44"/>
    <w:lvl w:ilvl="0" w:tplc="47FA90A0">
      <w:start w:val="1"/>
      <w:numFmt w:val="bullet"/>
      <w:pStyle w:val="NoteLevel1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7A7D5C7D"/>
    <w:multiLevelType w:val="hybridMultilevel"/>
    <w:tmpl w:val="F9FE3410"/>
    <w:lvl w:ilvl="0" w:tplc="23ECA22C">
      <w:start w:val="1"/>
      <w:numFmt w:val="bullet"/>
      <w:pStyle w:val="NoteLevel3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B78103E"/>
    <w:multiLevelType w:val="hybridMultilevel"/>
    <w:tmpl w:val="2A3C9C5E"/>
    <w:lvl w:ilvl="0" w:tplc="63CE33A0">
      <w:start w:val="1"/>
      <w:numFmt w:val="bullet"/>
      <w:pStyle w:val="BulletLevel1"/>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D36507A"/>
    <w:multiLevelType w:val="hybridMultilevel"/>
    <w:tmpl w:val="35C091A0"/>
    <w:lvl w:ilvl="0" w:tplc="57C48912">
      <w:start w:val="1"/>
      <w:numFmt w:val="bullet"/>
      <w:pStyle w:val="NoteLevel2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D5B54B7"/>
    <w:multiLevelType w:val="multilevel"/>
    <w:tmpl w:val="BF28D90C"/>
    <w:lvl w:ilvl="0">
      <w:start w:val="1"/>
      <w:numFmt w:val="decimal"/>
      <w:lvlText w:val="%1."/>
      <w:lvlJc w:val="left"/>
      <w:pPr>
        <w:ind w:left="284" w:hanging="284"/>
      </w:pPr>
      <w:rPr>
        <w:rFonts w:hint="default"/>
        <w:color w:val="54585A"/>
      </w:rPr>
    </w:lvl>
    <w:lvl w:ilvl="1">
      <w:start w:val="1"/>
      <w:numFmt w:val="bullet"/>
      <w:lvlText w:val="­"/>
      <w:lvlJc w:val="left"/>
      <w:pPr>
        <w:ind w:left="568" w:hanging="284"/>
      </w:pPr>
      <w:rPr>
        <w:rFonts w:ascii="Courier New" w:hAnsi="Courier New" w:hint="default"/>
      </w:rPr>
    </w:lvl>
    <w:lvl w:ilvl="2">
      <w:start w:val="1"/>
      <w:numFmt w:val="bullet"/>
      <w:lvlText w:val=""/>
      <w:lvlJc w:val="left"/>
      <w:pPr>
        <w:ind w:left="852" w:hanging="284"/>
      </w:pPr>
      <w:rPr>
        <w:rFonts w:ascii="Wingdings" w:hAnsi="Wingding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num w:numId="1">
    <w:abstractNumId w:val="16"/>
  </w:num>
  <w:num w:numId="2">
    <w:abstractNumId w:val="14"/>
  </w:num>
  <w:num w:numId="3">
    <w:abstractNumId w:val="21"/>
  </w:num>
  <w:num w:numId="4">
    <w:abstractNumId w:val="12"/>
  </w:num>
  <w:num w:numId="5">
    <w:abstractNumId w:val="17"/>
  </w:num>
  <w:num w:numId="6">
    <w:abstractNumId w:val="15"/>
  </w:num>
  <w:num w:numId="7">
    <w:abstractNumId w:val="10"/>
  </w:num>
  <w:num w:numId="8">
    <w:abstractNumId w:val="16"/>
    <w:lvlOverride w:ilvl="0">
      <w:startOverride w:val="1"/>
    </w:lvlOverride>
  </w:num>
  <w:num w:numId="9">
    <w:abstractNumId w:val="16"/>
    <w:lvlOverride w:ilvl="0">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11"/>
    <w:lvlOverride w:ilvl="0">
      <w:startOverride w:val="1"/>
    </w:lvlOverride>
  </w:num>
  <w:num w:numId="31">
    <w:abstractNumId w:val="11"/>
    <w:lvlOverride w:ilvl="0">
      <w:startOverride w:val="1"/>
    </w:lvlOverride>
  </w:num>
  <w:num w:numId="32">
    <w:abstractNumId w:val="11"/>
    <w:lvlOverride w:ilvl="0">
      <w:startOverride w:val="1"/>
    </w:lvlOverride>
  </w:num>
  <w:num w:numId="33">
    <w:abstractNumId w:val="11"/>
    <w:lvlOverride w:ilvl="0">
      <w:startOverride w:val="1"/>
    </w:lvlOverride>
  </w:num>
  <w:num w:numId="34">
    <w:abstractNumId w:val="11"/>
    <w:lvlOverride w:ilvl="0">
      <w:startOverride w:val="1"/>
    </w:lvlOverride>
  </w:num>
  <w:num w:numId="35">
    <w:abstractNumId w:val="9"/>
  </w:num>
  <w:num w:numId="36">
    <w:abstractNumId w:val="7"/>
  </w:num>
  <w:num w:numId="37">
    <w:abstractNumId w:val="6"/>
  </w:num>
  <w:num w:numId="38">
    <w:abstractNumId w:val="5"/>
  </w:num>
  <w:num w:numId="39">
    <w:abstractNumId w:val="4"/>
  </w:num>
  <w:num w:numId="40">
    <w:abstractNumId w:val="8"/>
  </w:num>
  <w:num w:numId="41">
    <w:abstractNumId w:val="3"/>
  </w:num>
  <w:num w:numId="42">
    <w:abstractNumId w:val="2"/>
  </w:num>
  <w:num w:numId="43">
    <w:abstractNumId w:val="1"/>
  </w:num>
  <w:num w:numId="44">
    <w:abstractNumId w:val="0"/>
  </w:num>
  <w:num w:numId="45">
    <w:abstractNumId w:val="13"/>
  </w:num>
  <w:num w:numId="46">
    <w:abstractNumId w:val="18"/>
  </w:num>
  <w:num w:numId="47">
    <w:abstractNumId w:val="19"/>
  </w:num>
  <w:num w:numId="48">
    <w:abstractNumId w:val="22"/>
  </w:num>
  <w:num w:numId="49">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hideGrammatical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CE9"/>
    <w:rsid w:val="0000102B"/>
    <w:rsid w:val="00010F32"/>
    <w:rsid w:val="00041C2D"/>
    <w:rsid w:val="00051F77"/>
    <w:rsid w:val="000547BD"/>
    <w:rsid w:val="00060CEF"/>
    <w:rsid w:val="00063012"/>
    <w:rsid w:val="00071256"/>
    <w:rsid w:val="00093F72"/>
    <w:rsid w:val="00097E52"/>
    <w:rsid w:val="000A5E2F"/>
    <w:rsid w:val="000C492F"/>
    <w:rsid w:val="000D617C"/>
    <w:rsid w:val="000E0E01"/>
    <w:rsid w:val="000E759D"/>
    <w:rsid w:val="000F3028"/>
    <w:rsid w:val="000F507D"/>
    <w:rsid w:val="001069F6"/>
    <w:rsid w:val="00114EFA"/>
    <w:rsid w:val="00147A07"/>
    <w:rsid w:val="00156383"/>
    <w:rsid w:val="001656DC"/>
    <w:rsid w:val="0018152B"/>
    <w:rsid w:val="001838A3"/>
    <w:rsid w:val="001B27B1"/>
    <w:rsid w:val="001E734B"/>
    <w:rsid w:val="00200785"/>
    <w:rsid w:val="00201710"/>
    <w:rsid w:val="00201CF6"/>
    <w:rsid w:val="00204E93"/>
    <w:rsid w:val="00205E98"/>
    <w:rsid w:val="00214D58"/>
    <w:rsid w:val="00226179"/>
    <w:rsid w:val="00227CE9"/>
    <w:rsid w:val="00237D23"/>
    <w:rsid w:val="00260C42"/>
    <w:rsid w:val="0027371A"/>
    <w:rsid w:val="002756A2"/>
    <w:rsid w:val="00292062"/>
    <w:rsid w:val="002932F6"/>
    <w:rsid w:val="002B44FE"/>
    <w:rsid w:val="002C1741"/>
    <w:rsid w:val="002D426B"/>
    <w:rsid w:val="002D7A23"/>
    <w:rsid w:val="002E3180"/>
    <w:rsid w:val="002F0874"/>
    <w:rsid w:val="002F173E"/>
    <w:rsid w:val="003111C1"/>
    <w:rsid w:val="00324E5A"/>
    <w:rsid w:val="003260D5"/>
    <w:rsid w:val="003340ED"/>
    <w:rsid w:val="0033653D"/>
    <w:rsid w:val="00351BF1"/>
    <w:rsid w:val="0035709E"/>
    <w:rsid w:val="00371482"/>
    <w:rsid w:val="003720FB"/>
    <w:rsid w:val="0039023C"/>
    <w:rsid w:val="00390C13"/>
    <w:rsid w:val="0039166E"/>
    <w:rsid w:val="00391AFD"/>
    <w:rsid w:val="00391C1D"/>
    <w:rsid w:val="00392A2D"/>
    <w:rsid w:val="003A5C30"/>
    <w:rsid w:val="003A637C"/>
    <w:rsid w:val="003A6DD4"/>
    <w:rsid w:val="003B6090"/>
    <w:rsid w:val="003E12A1"/>
    <w:rsid w:val="00400144"/>
    <w:rsid w:val="00411667"/>
    <w:rsid w:val="004132B4"/>
    <w:rsid w:val="004168B6"/>
    <w:rsid w:val="00417680"/>
    <w:rsid w:val="00432CBE"/>
    <w:rsid w:val="00456522"/>
    <w:rsid w:val="00463594"/>
    <w:rsid w:val="004657B5"/>
    <w:rsid w:val="00487F4C"/>
    <w:rsid w:val="004A3751"/>
    <w:rsid w:val="004A53B4"/>
    <w:rsid w:val="004A6139"/>
    <w:rsid w:val="004B72C9"/>
    <w:rsid w:val="004D06C6"/>
    <w:rsid w:val="004E3F7C"/>
    <w:rsid w:val="004E54B1"/>
    <w:rsid w:val="004E5E02"/>
    <w:rsid w:val="00510D4B"/>
    <w:rsid w:val="00514044"/>
    <w:rsid w:val="0051517D"/>
    <w:rsid w:val="00517BA8"/>
    <w:rsid w:val="00521B12"/>
    <w:rsid w:val="005460AA"/>
    <w:rsid w:val="00553177"/>
    <w:rsid w:val="00561C92"/>
    <w:rsid w:val="00573EC1"/>
    <w:rsid w:val="005801F4"/>
    <w:rsid w:val="00581AF5"/>
    <w:rsid w:val="005B3B21"/>
    <w:rsid w:val="005D6F30"/>
    <w:rsid w:val="005E02BF"/>
    <w:rsid w:val="005E6836"/>
    <w:rsid w:val="005F5EED"/>
    <w:rsid w:val="005F7797"/>
    <w:rsid w:val="00600A00"/>
    <w:rsid w:val="00607A10"/>
    <w:rsid w:val="0061103F"/>
    <w:rsid w:val="00632F1A"/>
    <w:rsid w:val="0064412A"/>
    <w:rsid w:val="00644BD7"/>
    <w:rsid w:val="00651C1E"/>
    <w:rsid w:val="00652313"/>
    <w:rsid w:val="00656430"/>
    <w:rsid w:val="006567FA"/>
    <w:rsid w:val="006644E3"/>
    <w:rsid w:val="006668A6"/>
    <w:rsid w:val="006839A1"/>
    <w:rsid w:val="00695398"/>
    <w:rsid w:val="0069677A"/>
    <w:rsid w:val="006A6E70"/>
    <w:rsid w:val="006C1170"/>
    <w:rsid w:val="006C4F37"/>
    <w:rsid w:val="006E1AD2"/>
    <w:rsid w:val="006F1DDA"/>
    <w:rsid w:val="006F2DFA"/>
    <w:rsid w:val="006F3B14"/>
    <w:rsid w:val="007074C9"/>
    <w:rsid w:val="00712C64"/>
    <w:rsid w:val="00736C5B"/>
    <w:rsid w:val="00737A7C"/>
    <w:rsid w:val="00741B4A"/>
    <w:rsid w:val="007438F8"/>
    <w:rsid w:val="00747119"/>
    <w:rsid w:val="007473AF"/>
    <w:rsid w:val="00752CCF"/>
    <w:rsid w:val="00757420"/>
    <w:rsid w:val="007712F7"/>
    <w:rsid w:val="00776A47"/>
    <w:rsid w:val="007812AB"/>
    <w:rsid w:val="00791412"/>
    <w:rsid w:val="00797CA5"/>
    <w:rsid w:val="007B4A63"/>
    <w:rsid w:val="007B5D73"/>
    <w:rsid w:val="007D011D"/>
    <w:rsid w:val="007D2334"/>
    <w:rsid w:val="007E498C"/>
    <w:rsid w:val="007E66E8"/>
    <w:rsid w:val="00803478"/>
    <w:rsid w:val="00806646"/>
    <w:rsid w:val="00807BDE"/>
    <w:rsid w:val="0082256E"/>
    <w:rsid w:val="008232FA"/>
    <w:rsid w:val="00823DF4"/>
    <w:rsid w:val="00824520"/>
    <w:rsid w:val="008257BC"/>
    <w:rsid w:val="00834A37"/>
    <w:rsid w:val="008418AB"/>
    <w:rsid w:val="00844DD0"/>
    <w:rsid w:val="00861D2A"/>
    <w:rsid w:val="00881D0A"/>
    <w:rsid w:val="00890F56"/>
    <w:rsid w:val="0089106B"/>
    <w:rsid w:val="008C1409"/>
    <w:rsid w:val="008C3452"/>
    <w:rsid w:val="008C4AA4"/>
    <w:rsid w:val="008F1A4D"/>
    <w:rsid w:val="00901D76"/>
    <w:rsid w:val="00901F1D"/>
    <w:rsid w:val="009044FE"/>
    <w:rsid w:val="009146C6"/>
    <w:rsid w:val="009515F7"/>
    <w:rsid w:val="009604B9"/>
    <w:rsid w:val="00964196"/>
    <w:rsid w:val="00965DAF"/>
    <w:rsid w:val="00966679"/>
    <w:rsid w:val="0099130D"/>
    <w:rsid w:val="009D386D"/>
    <w:rsid w:val="00A15546"/>
    <w:rsid w:val="00A2680D"/>
    <w:rsid w:val="00A5055B"/>
    <w:rsid w:val="00A52441"/>
    <w:rsid w:val="00A571D6"/>
    <w:rsid w:val="00A60098"/>
    <w:rsid w:val="00A63910"/>
    <w:rsid w:val="00A63989"/>
    <w:rsid w:val="00A66166"/>
    <w:rsid w:val="00A70BCD"/>
    <w:rsid w:val="00A754C8"/>
    <w:rsid w:val="00A81AAA"/>
    <w:rsid w:val="00A9763A"/>
    <w:rsid w:val="00AA5F86"/>
    <w:rsid w:val="00AB3E37"/>
    <w:rsid w:val="00AC2C05"/>
    <w:rsid w:val="00AC5A9F"/>
    <w:rsid w:val="00AE083C"/>
    <w:rsid w:val="00AE344E"/>
    <w:rsid w:val="00AE5343"/>
    <w:rsid w:val="00AF0245"/>
    <w:rsid w:val="00AF1FDE"/>
    <w:rsid w:val="00B16161"/>
    <w:rsid w:val="00B53A3B"/>
    <w:rsid w:val="00B62F95"/>
    <w:rsid w:val="00B65F2C"/>
    <w:rsid w:val="00B703CB"/>
    <w:rsid w:val="00B70649"/>
    <w:rsid w:val="00B81D7D"/>
    <w:rsid w:val="00B930F6"/>
    <w:rsid w:val="00B9399C"/>
    <w:rsid w:val="00B97FF5"/>
    <w:rsid w:val="00BA11F9"/>
    <w:rsid w:val="00BA1DCB"/>
    <w:rsid w:val="00BA6D73"/>
    <w:rsid w:val="00BB6E1C"/>
    <w:rsid w:val="00BC247C"/>
    <w:rsid w:val="00BD5B56"/>
    <w:rsid w:val="00BE0392"/>
    <w:rsid w:val="00BE1E0B"/>
    <w:rsid w:val="00C00FA8"/>
    <w:rsid w:val="00C117DC"/>
    <w:rsid w:val="00C222A4"/>
    <w:rsid w:val="00C232CE"/>
    <w:rsid w:val="00C2362D"/>
    <w:rsid w:val="00C50F0F"/>
    <w:rsid w:val="00C514B9"/>
    <w:rsid w:val="00C8408D"/>
    <w:rsid w:val="00C93241"/>
    <w:rsid w:val="00CA3D16"/>
    <w:rsid w:val="00CB6544"/>
    <w:rsid w:val="00CC7796"/>
    <w:rsid w:val="00CD761E"/>
    <w:rsid w:val="00CF66DD"/>
    <w:rsid w:val="00D04843"/>
    <w:rsid w:val="00D33E1A"/>
    <w:rsid w:val="00D3482E"/>
    <w:rsid w:val="00D65EA5"/>
    <w:rsid w:val="00D6608A"/>
    <w:rsid w:val="00D7523E"/>
    <w:rsid w:val="00D82E98"/>
    <w:rsid w:val="00D87A58"/>
    <w:rsid w:val="00D94132"/>
    <w:rsid w:val="00D96D98"/>
    <w:rsid w:val="00DA1F29"/>
    <w:rsid w:val="00DA64D1"/>
    <w:rsid w:val="00DD02A7"/>
    <w:rsid w:val="00DD21B0"/>
    <w:rsid w:val="00DF7B82"/>
    <w:rsid w:val="00E00B79"/>
    <w:rsid w:val="00E136BF"/>
    <w:rsid w:val="00E3439E"/>
    <w:rsid w:val="00E45CD6"/>
    <w:rsid w:val="00E50953"/>
    <w:rsid w:val="00E50A75"/>
    <w:rsid w:val="00E513E1"/>
    <w:rsid w:val="00E650AF"/>
    <w:rsid w:val="00E7025F"/>
    <w:rsid w:val="00E72F80"/>
    <w:rsid w:val="00E74A8C"/>
    <w:rsid w:val="00E76EAD"/>
    <w:rsid w:val="00E865DA"/>
    <w:rsid w:val="00E949B2"/>
    <w:rsid w:val="00EA0683"/>
    <w:rsid w:val="00EA511D"/>
    <w:rsid w:val="00EA742C"/>
    <w:rsid w:val="00EB60D0"/>
    <w:rsid w:val="00ED17CF"/>
    <w:rsid w:val="00EF0044"/>
    <w:rsid w:val="00EF1021"/>
    <w:rsid w:val="00F0147F"/>
    <w:rsid w:val="00F05309"/>
    <w:rsid w:val="00F256D5"/>
    <w:rsid w:val="00F31A3C"/>
    <w:rsid w:val="00F40C56"/>
    <w:rsid w:val="00F451FC"/>
    <w:rsid w:val="00F51DF8"/>
    <w:rsid w:val="00F53A2D"/>
    <w:rsid w:val="00F74D1B"/>
    <w:rsid w:val="00F83C78"/>
    <w:rsid w:val="00F931EB"/>
    <w:rsid w:val="00F93E35"/>
    <w:rsid w:val="00F95CAF"/>
    <w:rsid w:val="00FA4A81"/>
    <w:rsid w:val="00FC3885"/>
    <w:rsid w:val="00FE37CA"/>
    <w:rsid w:val="00FF328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4BF86F"/>
  <w15:docId w15:val="{E50B2BA5-9394-4B6B-B8B7-4102D3B2E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E6836"/>
    <w:pPr>
      <w:spacing w:before="120" w:after="120" w:line="240" w:lineRule="auto"/>
    </w:pPr>
    <w:rPr>
      <w:rFonts w:ascii="Calibri" w:hAnsi="Calibri"/>
      <w:color w:val="54585A"/>
      <w:sz w:val="20"/>
    </w:rPr>
  </w:style>
  <w:style w:type="paragraph" w:styleId="Heading1">
    <w:name w:val="heading 1"/>
    <w:next w:val="Heading2"/>
    <w:link w:val="Heading1Char"/>
    <w:uiPriority w:val="9"/>
    <w:qFormat/>
    <w:rsid w:val="009515F7"/>
    <w:pPr>
      <w:keepNext/>
      <w:keepLines/>
      <w:pageBreakBefore/>
      <w:spacing w:before="240" w:after="240"/>
      <w:outlineLvl w:val="0"/>
    </w:pPr>
    <w:rPr>
      <w:rFonts w:ascii="Calibri" w:eastAsiaTheme="majorEastAsia" w:hAnsi="Calibri" w:cstheme="majorBidi"/>
      <w:b/>
      <w:bCs/>
      <w:color w:val="EF3340"/>
      <w:sz w:val="34"/>
      <w:szCs w:val="28"/>
    </w:rPr>
  </w:style>
  <w:style w:type="paragraph" w:styleId="Heading2">
    <w:name w:val="heading 2"/>
    <w:next w:val="Normal"/>
    <w:link w:val="Heading2Char"/>
    <w:uiPriority w:val="9"/>
    <w:unhideWhenUsed/>
    <w:qFormat/>
    <w:rsid w:val="009515F7"/>
    <w:pPr>
      <w:keepNext/>
      <w:keepLines/>
      <w:spacing w:before="240" w:after="120"/>
      <w:outlineLvl w:val="1"/>
    </w:pPr>
    <w:rPr>
      <w:rFonts w:ascii="Calibri" w:eastAsiaTheme="majorEastAsia" w:hAnsi="Calibri" w:cstheme="majorBidi"/>
      <w:b/>
      <w:bCs/>
      <w:color w:val="54585A"/>
      <w:sz w:val="26"/>
      <w:szCs w:val="26"/>
    </w:rPr>
  </w:style>
  <w:style w:type="paragraph" w:styleId="Heading3">
    <w:name w:val="heading 3"/>
    <w:next w:val="Normal"/>
    <w:link w:val="Heading3Char"/>
    <w:uiPriority w:val="9"/>
    <w:unhideWhenUsed/>
    <w:qFormat/>
    <w:rsid w:val="00DD21B0"/>
    <w:pPr>
      <w:keepNext/>
      <w:keepLines/>
      <w:spacing w:before="240" w:after="120"/>
      <w:outlineLvl w:val="2"/>
    </w:pPr>
    <w:rPr>
      <w:rFonts w:ascii="Calibri" w:eastAsiaTheme="majorEastAsia" w:hAnsi="Calibri" w:cstheme="majorBidi"/>
      <w:b/>
      <w:bCs/>
      <w:color w:val="54585A"/>
    </w:rPr>
  </w:style>
  <w:style w:type="paragraph" w:styleId="Heading4">
    <w:name w:val="heading 4"/>
    <w:next w:val="Normal"/>
    <w:link w:val="Heading4Char"/>
    <w:uiPriority w:val="9"/>
    <w:unhideWhenUsed/>
    <w:qFormat/>
    <w:rsid w:val="00652313"/>
    <w:pPr>
      <w:keepNext/>
      <w:keepLines/>
      <w:spacing w:before="120" w:after="120"/>
      <w:outlineLvl w:val="3"/>
    </w:pPr>
    <w:rPr>
      <w:rFonts w:ascii="Calibri" w:eastAsiaTheme="majorEastAsia" w:hAnsi="Calibri" w:cstheme="majorBidi"/>
      <w:b/>
      <w:iCs/>
      <w:color w:val="54585A"/>
      <w:sz w:val="20"/>
    </w:rPr>
  </w:style>
  <w:style w:type="paragraph" w:styleId="Heading5">
    <w:name w:val="heading 5"/>
    <w:basedOn w:val="Normal"/>
    <w:next w:val="Normal"/>
    <w:link w:val="Heading5Char"/>
    <w:uiPriority w:val="9"/>
    <w:semiHidden/>
    <w:unhideWhenUsed/>
    <w:qFormat/>
    <w:rsid w:val="00227CE9"/>
    <w:pPr>
      <w:keepNext/>
      <w:keepLines/>
      <w:spacing w:before="40" w:after="0"/>
      <w:outlineLvl w:val="4"/>
    </w:pPr>
    <w:rPr>
      <w:rFonts w:asciiTheme="majorHAnsi" w:eastAsiaTheme="majorEastAsia" w:hAnsiTheme="majorHAnsi" w:cstheme="majorBidi"/>
      <w:color w:val="3E4143"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6E1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E1C"/>
    <w:rPr>
      <w:rFonts w:ascii="Tahoma" w:hAnsi="Tahoma" w:cs="Tahoma"/>
      <w:sz w:val="16"/>
      <w:szCs w:val="16"/>
    </w:rPr>
  </w:style>
  <w:style w:type="paragraph" w:styleId="Header">
    <w:name w:val="header"/>
    <w:link w:val="HeaderChar"/>
    <w:uiPriority w:val="99"/>
    <w:unhideWhenUsed/>
    <w:rsid w:val="003E12A1"/>
    <w:pPr>
      <w:tabs>
        <w:tab w:val="center" w:pos="4513"/>
        <w:tab w:val="right" w:pos="9026"/>
      </w:tabs>
      <w:spacing w:after="0"/>
    </w:pPr>
    <w:rPr>
      <w:rFonts w:ascii="Calibri" w:hAnsi="Calibri"/>
      <w:color w:val="54585A"/>
      <w:sz w:val="20"/>
    </w:rPr>
  </w:style>
  <w:style w:type="character" w:customStyle="1" w:styleId="HeaderChar">
    <w:name w:val="Header Char"/>
    <w:basedOn w:val="DefaultParagraphFont"/>
    <w:link w:val="Header"/>
    <w:uiPriority w:val="99"/>
    <w:rsid w:val="003E12A1"/>
    <w:rPr>
      <w:rFonts w:ascii="Calibri" w:hAnsi="Calibri"/>
      <w:color w:val="54585A"/>
      <w:sz w:val="20"/>
    </w:rPr>
  </w:style>
  <w:style w:type="paragraph" w:styleId="Footer">
    <w:name w:val="footer"/>
    <w:link w:val="FooterChar"/>
    <w:uiPriority w:val="99"/>
    <w:unhideWhenUsed/>
    <w:rsid w:val="009515F7"/>
    <w:pPr>
      <w:tabs>
        <w:tab w:val="center" w:pos="4513"/>
        <w:tab w:val="right" w:pos="9026"/>
      </w:tabs>
      <w:spacing w:after="0"/>
    </w:pPr>
    <w:rPr>
      <w:rFonts w:ascii="Calibri" w:hAnsi="Calibri"/>
      <w:color w:val="54585A"/>
      <w:sz w:val="20"/>
    </w:rPr>
  </w:style>
  <w:style w:type="character" w:customStyle="1" w:styleId="FooterChar">
    <w:name w:val="Footer Char"/>
    <w:basedOn w:val="DefaultParagraphFont"/>
    <w:link w:val="Footer"/>
    <w:uiPriority w:val="99"/>
    <w:rsid w:val="009515F7"/>
    <w:rPr>
      <w:rFonts w:ascii="Calibri" w:hAnsi="Calibri"/>
      <w:color w:val="54585A"/>
      <w:sz w:val="20"/>
    </w:rPr>
  </w:style>
  <w:style w:type="table" w:styleId="TableGrid">
    <w:name w:val="Table Grid"/>
    <w:basedOn w:val="TableNormal"/>
    <w:uiPriority w:val="59"/>
    <w:rsid w:val="002007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BulletL1"/>
    <w:next w:val="BulletLevel2"/>
    <w:link w:val="ListParagraphChar"/>
    <w:uiPriority w:val="34"/>
    <w:qFormat/>
    <w:rsid w:val="003111C1"/>
    <w:pPr>
      <w:numPr>
        <w:numId w:val="2"/>
      </w:numPr>
      <w:tabs>
        <w:tab w:val="left" w:pos="284"/>
      </w:tabs>
      <w:autoSpaceDE w:val="0"/>
      <w:autoSpaceDN w:val="0"/>
      <w:adjustRightInd w:val="0"/>
      <w:spacing w:before="60" w:after="120" w:line="240" w:lineRule="auto"/>
      <w:ind w:left="0" w:firstLine="0"/>
      <w:contextualSpacing/>
    </w:pPr>
    <w:rPr>
      <w:rFonts w:ascii="Verdana" w:hAnsi="Verdana" w:cs="MyriadPro-Bold"/>
      <w:bCs/>
      <w:color w:val="54585A"/>
      <w:sz w:val="20"/>
      <w:szCs w:val="20"/>
    </w:rPr>
  </w:style>
  <w:style w:type="character" w:customStyle="1" w:styleId="Heading1Char">
    <w:name w:val="Heading 1 Char"/>
    <w:basedOn w:val="DefaultParagraphFont"/>
    <w:link w:val="Heading1"/>
    <w:uiPriority w:val="9"/>
    <w:rsid w:val="009515F7"/>
    <w:rPr>
      <w:rFonts w:ascii="Calibri" w:eastAsiaTheme="majorEastAsia" w:hAnsi="Calibri" w:cstheme="majorBidi"/>
      <w:b/>
      <w:bCs/>
      <w:color w:val="EF3340"/>
      <w:sz w:val="34"/>
      <w:szCs w:val="28"/>
    </w:rPr>
  </w:style>
  <w:style w:type="character" w:customStyle="1" w:styleId="Heading2Char">
    <w:name w:val="Heading 2 Char"/>
    <w:basedOn w:val="DefaultParagraphFont"/>
    <w:link w:val="Heading2"/>
    <w:uiPriority w:val="9"/>
    <w:rsid w:val="009515F7"/>
    <w:rPr>
      <w:rFonts w:ascii="Calibri" w:eastAsiaTheme="majorEastAsia" w:hAnsi="Calibri" w:cstheme="majorBidi"/>
      <w:b/>
      <w:bCs/>
      <w:color w:val="54585A"/>
      <w:sz w:val="26"/>
      <w:szCs w:val="26"/>
    </w:rPr>
  </w:style>
  <w:style w:type="character" w:customStyle="1" w:styleId="Heading3Char">
    <w:name w:val="Heading 3 Char"/>
    <w:basedOn w:val="DefaultParagraphFont"/>
    <w:link w:val="Heading3"/>
    <w:uiPriority w:val="9"/>
    <w:rsid w:val="00DD21B0"/>
    <w:rPr>
      <w:rFonts w:ascii="Calibri" w:eastAsiaTheme="majorEastAsia" w:hAnsi="Calibri" w:cstheme="majorBidi"/>
      <w:b/>
      <w:bCs/>
      <w:color w:val="54585A"/>
    </w:rPr>
  </w:style>
  <w:style w:type="paragraph" w:styleId="NoSpacing">
    <w:name w:val="No Spacing"/>
    <w:uiPriority w:val="1"/>
    <w:rsid w:val="00010F32"/>
    <w:pPr>
      <w:spacing w:after="0" w:line="240" w:lineRule="auto"/>
    </w:pPr>
    <w:rPr>
      <w:rFonts w:ascii="Verdana" w:hAnsi="Verdana"/>
      <w:color w:val="54585A"/>
      <w:sz w:val="20"/>
    </w:rPr>
  </w:style>
  <w:style w:type="paragraph" w:styleId="TOCHeading">
    <w:name w:val="TOC Heading"/>
    <w:basedOn w:val="Normal"/>
    <w:next w:val="Normal"/>
    <w:uiPriority w:val="39"/>
    <w:unhideWhenUsed/>
    <w:qFormat/>
    <w:rsid w:val="00C2362D"/>
    <w:pPr>
      <w:spacing w:before="240" w:after="240" w:line="276" w:lineRule="auto"/>
    </w:pPr>
    <w:rPr>
      <w:b/>
      <w:color w:val="EF3340"/>
      <w:sz w:val="34"/>
    </w:rPr>
  </w:style>
  <w:style w:type="paragraph" w:styleId="TOC1">
    <w:name w:val="toc 1"/>
    <w:next w:val="Normal"/>
    <w:autoRedefine/>
    <w:uiPriority w:val="39"/>
    <w:unhideWhenUsed/>
    <w:qFormat/>
    <w:rsid w:val="009515F7"/>
    <w:pPr>
      <w:tabs>
        <w:tab w:val="right" w:leader="dot" w:pos="9070"/>
      </w:tabs>
      <w:spacing w:after="120"/>
    </w:pPr>
    <w:rPr>
      <w:rFonts w:ascii="Calibri" w:hAnsi="Calibri"/>
      <w:b/>
      <w:color w:val="54585A"/>
    </w:rPr>
  </w:style>
  <w:style w:type="paragraph" w:styleId="TOC2">
    <w:name w:val="toc 2"/>
    <w:next w:val="Normal"/>
    <w:autoRedefine/>
    <w:uiPriority w:val="39"/>
    <w:unhideWhenUsed/>
    <w:qFormat/>
    <w:rsid w:val="009515F7"/>
    <w:pPr>
      <w:tabs>
        <w:tab w:val="right" w:leader="dot" w:pos="9060"/>
      </w:tabs>
      <w:spacing w:after="120"/>
      <w:ind w:left="198"/>
    </w:pPr>
    <w:rPr>
      <w:rFonts w:ascii="Calibri" w:hAnsi="Calibri"/>
      <w:color w:val="54585A"/>
      <w:sz w:val="20"/>
    </w:rPr>
  </w:style>
  <w:style w:type="character" w:styleId="Hyperlink">
    <w:name w:val="Hyperlink"/>
    <w:basedOn w:val="DefaultParagraphFont"/>
    <w:uiPriority w:val="99"/>
    <w:unhideWhenUsed/>
    <w:rsid w:val="006F2DFA"/>
    <w:rPr>
      <w:color w:val="000000" w:themeColor="hyperlink"/>
      <w:u w:val="single"/>
    </w:rPr>
  </w:style>
  <w:style w:type="paragraph" w:styleId="TOC3">
    <w:name w:val="toc 3"/>
    <w:next w:val="Normal"/>
    <w:autoRedefine/>
    <w:uiPriority w:val="39"/>
    <w:unhideWhenUsed/>
    <w:qFormat/>
    <w:rsid w:val="009515F7"/>
    <w:pPr>
      <w:tabs>
        <w:tab w:val="right" w:leader="dot" w:pos="9060"/>
      </w:tabs>
      <w:spacing w:after="120"/>
      <w:ind w:left="567"/>
    </w:pPr>
    <w:rPr>
      <w:rFonts w:ascii="Calibri" w:eastAsiaTheme="minorEastAsia" w:hAnsi="Calibri"/>
      <w:noProof/>
      <w:color w:val="54585A"/>
      <w:sz w:val="20"/>
      <w:szCs w:val="20"/>
      <w:lang w:val="en-US"/>
    </w:rPr>
  </w:style>
  <w:style w:type="paragraph" w:customStyle="1" w:styleId="BulletLevel2">
    <w:name w:val="BulletLevel2"/>
    <w:link w:val="BulletLevel2Char"/>
    <w:qFormat/>
    <w:rsid w:val="009515F7"/>
    <w:pPr>
      <w:numPr>
        <w:numId w:val="6"/>
      </w:numPr>
      <w:autoSpaceDE w:val="0"/>
      <w:autoSpaceDN w:val="0"/>
      <w:adjustRightInd w:val="0"/>
      <w:spacing w:after="120" w:line="240" w:lineRule="auto"/>
      <w:ind w:left="568" w:hanging="284"/>
    </w:pPr>
    <w:rPr>
      <w:rFonts w:ascii="Calibri" w:hAnsi="Calibri" w:cs="MyriadPro-Bold"/>
      <w:bCs/>
      <w:color w:val="54585A"/>
      <w:sz w:val="20"/>
      <w:szCs w:val="20"/>
    </w:rPr>
  </w:style>
  <w:style w:type="paragraph" w:customStyle="1" w:styleId="NumberedListL1">
    <w:name w:val="NumberedListL1"/>
    <w:qFormat/>
    <w:rsid w:val="00A63910"/>
    <w:pPr>
      <w:numPr>
        <w:numId w:val="1"/>
      </w:numPr>
      <w:tabs>
        <w:tab w:val="left" w:pos="284"/>
      </w:tabs>
      <w:autoSpaceDE w:val="0"/>
      <w:autoSpaceDN w:val="0"/>
      <w:adjustRightInd w:val="0"/>
      <w:spacing w:after="120" w:line="240" w:lineRule="auto"/>
    </w:pPr>
    <w:rPr>
      <w:rFonts w:ascii="Calibri" w:hAnsi="Calibri" w:cs="MyriadPro-Bold"/>
      <w:color w:val="54585A"/>
      <w:sz w:val="20"/>
      <w:szCs w:val="20"/>
    </w:rPr>
  </w:style>
  <w:style w:type="paragraph" w:customStyle="1" w:styleId="NumberedLIstL2">
    <w:name w:val="NumberedLIstL2"/>
    <w:qFormat/>
    <w:rsid w:val="00A63910"/>
    <w:pPr>
      <w:numPr>
        <w:numId w:val="5"/>
      </w:numPr>
      <w:autoSpaceDE w:val="0"/>
      <w:autoSpaceDN w:val="0"/>
      <w:adjustRightInd w:val="0"/>
      <w:spacing w:after="120" w:line="240" w:lineRule="auto"/>
    </w:pPr>
    <w:rPr>
      <w:rFonts w:ascii="Calibri" w:hAnsi="Calibri" w:cs="MyriadPro-Bold"/>
      <w:color w:val="54585A"/>
      <w:sz w:val="20"/>
      <w:szCs w:val="20"/>
    </w:rPr>
  </w:style>
  <w:style w:type="paragraph" w:customStyle="1" w:styleId="NoteLevel3">
    <w:name w:val="NoteLevel3"/>
    <w:qFormat/>
    <w:rsid w:val="00051F77"/>
    <w:pPr>
      <w:pBdr>
        <w:top w:val="single" w:sz="8" w:space="1" w:color="D9D9D9"/>
        <w:bottom w:val="single" w:sz="8" w:space="1" w:color="D9D9D9"/>
      </w:pBdr>
      <w:spacing w:before="120" w:after="120"/>
      <w:ind w:left="851"/>
    </w:pPr>
    <w:rPr>
      <w:rFonts w:ascii="Calibri" w:hAnsi="Calibri"/>
      <w:color w:val="54585A"/>
      <w:sz w:val="20"/>
    </w:rPr>
  </w:style>
  <w:style w:type="paragraph" w:customStyle="1" w:styleId="AppendixHeader">
    <w:name w:val="AppendixHeader"/>
    <w:next w:val="Normal"/>
    <w:qFormat/>
    <w:rsid w:val="009515F7"/>
    <w:pPr>
      <w:pageBreakBefore/>
      <w:spacing w:before="240" w:after="240"/>
    </w:pPr>
    <w:rPr>
      <w:rFonts w:ascii="Calibri" w:eastAsiaTheme="majorEastAsia" w:hAnsi="Calibri" w:cstheme="majorBidi"/>
      <w:b/>
      <w:bCs/>
      <w:color w:val="EF3340"/>
      <w:sz w:val="34"/>
      <w:szCs w:val="28"/>
    </w:rPr>
  </w:style>
  <w:style w:type="character" w:customStyle="1" w:styleId="ListParagraphChar">
    <w:name w:val="List Paragraph Char"/>
    <w:aliases w:val="BulletL1 Char"/>
    <w:basedOn w:val="DefaultParagraphFont"/>
    <w:link w:val="ListParagraph"/>
    <w:uiPriority w:val="34"/>
    <w:rsid w:val="003111C1"/>
    <w:rPr>
      <w:rFonts w:ascii="Verdana" w:hAnsi="Verdana" w:cs="MyriadPro-Bold"/>
      <w:bCs/>
      <w:color w:val="54585A"/>
      <w:sz w:val="20"/>
      <w:szCs w:val="20"/>
    </w:rPr>
  </w:style>
  <w:style w:type="character" w:customStyle="1" w:styleId="BulletLevel2Char">
    <w:name w:val="BulletLevel2 Char"/>
    <w:basedOn w:val="DefaultParagraphFont"/>
    <w:link w:val="BulletLevel2"/>
    <w:rsid w:val="009515F7"/>
    <w:rPr>
      <w:rFonts w:ascii="Calibri" w:hAnsi="Calibri" w:cs="MyriadPro-Bold"/>
      <w:bCs/>
      <w:color w:val="54585A"/>
      <w:sz w:val="20"/>
      <w:szCs w:val="20"/>
    </w:rPr>
  </w:style>
  <w:style w:type="paragraph" w:customStyle="1" w:styleId="CoverPage1">
    <w:name w:val="CoverPage1"/>
    <w:next w:val="CoverPage2"/>
    <w:qFormat/>
    <w:rsid w:val="009515F7"/>
    <w:pPr>
      <w:spacing w:before="2800"/>
    </w:pPr>
    <w:rPr>
      <w:rFonts w:ascii="Calibri" w:eastAsiaTheme="majorEastAsia" w:hAnsi="Calibri" w:cstheme="majorBidi"/>
      <w:b/>
      <w:bCs/>
      <w:color w:val="EF3340"/>
      <w:sz w:val="60"/>
      <w:szCs w:val="28"/>
    </w:rPr>
  </w:style>
  <w:style w:type="paragraph" w:customStyle="1" w:styleId="CoverPage2">
    <w:name w:val="CoverPage2"/>
    <w:qFormat/>
    <w:rsid w:val="009515F7"/>
    <w:rPr>
      <w:rFonts w:ascii="Calibri" w:eastAsiaTheme="majorEastAsia" w:hAnsi="Calibri" w:cstheme="majorBidi"/>
      <w:b/>
      <w:bCs/>
      <w:color w:val="54585A"/>
      <w:sz w:val="48"/>
      <w:szCs w:val="26"/>
    </w:rPr>
  </w:style>
  <w:style w:type="paragraph" w:customStyle="1" w:styleId="TableHeader">
    <w:name w:val="TableHeader"/>
    <w:qFormat/>
    <w:rsid w:val="009515F7"/>
    <w:pPr>
      <w:spacing w:before="80" w:after="80"/>
    </w:pPr>
    <w:rPr>
      <w:rFonts w:ascii="Calibri" w:hAnsi="Calibri"/>
      <w:b/>
      <w:color w:val="FFFFFF" w:themeColor="background1"/>
      <w:sz w:val="18"/>
      <w:szCs w:val="18"/>
    </w:rPr>
  </w:style>
  <w:style w:type="table" w:customStyle="1" w:styleId="Tablestyle">
    <w:name w:val="Table style"/>
    <w:basedOn w:val="TableGrid"/>
    <w:uiPriority w:val="99"/>
    <w:rsid w:val="00432CBE"/>
    <w:rPr>
      <w:rFonts w:ascii="Verdana" w:hAnsi="Verdana"/>
      <w:color w:val="FFFFFF" w:themeColor="background1"/>
      <w:sz w:val="18"/>
    </w:rPr>
    <w:tblPr>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F3340"/>
    </w:tcPr>
  </w:style>
  <w:style w:type="paragraph" w:customStyle="1" w:styleId="TableText">
    <w:name w:val="TableText"/>
    <w:qFormat/>
    <w:rsid w:val="009515F7"/>
    <w:pPr>
      <w:spacing w:before="60" w:after="60"/>
    </w:pPr>
    <w:rPr>
      <w:rFonts w:ascii="Calibri" w:hAnsi="Calibri"/>
      <w:color w:val="54585A"/>
      <w:sz w:val="18"/>
      <w:szCs w:val="18"/>
    </w:rPr>
  </w:style>
  <w:style w:type="paragraph" w:customStyle="1" w:styleId="ImageBody">
    <w:name w:val="ImageBody"/>
    <w:next w:val="Normal"/>
    <w:qFormat/>
    <w:rsid w:val="009515F7"/>
    <w:pPr>
      <w:spacing w:before="60" w:after="120"/>
    </w:pPr>
    <w:rPr>
      <w:rFonts w:ascii="Calibri" w:hAnsi="Calibri"/>
      <w:color w:val="54585A"/>
      <w:sz w:val="20"/>
    </w:rPr>
  </w:style>
  <w:style w:type="paragraph" w:customStyle="1" w:styleId="DocInfoPage">
    <w:name w:val="DocInfoPage"/>
    <w:next w:val="Normal"/>
    <w:qFormat/>
    <w:rsid w:val="009515F7"/>
    <w:pPr>
      <w:spacing w:before="9000" w:after="240"/>
    </w:pPr>
    <w:rPr>
      <w:rFonts w:ascii="Calibri" w:eastAsiaTheme="majorEastAsia" w:hAnsi="Calibri" w:cstheme="majorBidi"/>
      <w:b/>
      <w:bCs/>
      <w:color w:val="EF3340"/>
      <w:sz w:val="34"/>
      <w:szCs w:val="28"/>
    </w:rPr>
  </w:style>
  <w:style w:type="paragraph" w:customStyle="1" w:styleId="VersionHistory">
    <w:name w:val="VersionHistory"/>
    <w:next w:val="Normal"/>
    <w:qFormat/>
    <w:rsid w:val="009515F7"/>
    <w:pPr>
      <w:spacing w:before="240" w:after="240"/>
    </w:pPr>
    <w:rPr>
      <w:rFonts w:ascii="Calibri" w:eastAsiaTheme="majorEastAsia" w:hAnsi="Calibri" w:cstheme="majorBidi"/>
      <w:b/>
      <w:bCs/>
      <w:color w:val="EF3340"/>
      <w:sz w:val="34"/>
      <w:szCs w:val="28"/>
    </w:rPr>
  </w:style>
  <w:style w:type="character" w:styleId="PlaceholderText">
    <w:name w:val="Placeholder Text"/>
    <w:basedOn w:val="DefaultParagraphFont"/>
    <w:uiPriority w:val="99"/>
    <w:semiHidden/>
    <w:rsid w:val="00651C1E"/>
    <w:rPr>
      <w:color w:val="808080"/>
    </w:rPr>
  </w:style>
  <w:style w:type="paragraph" w:customStyle="1" w:styleId="NoteBody">
    <w:name w:val="NoteBody"/>
    <w:next w:val="Normal"/>
    <w:qFormat/>
    <w:rsid w:val="00695398"/>
    <w:pPr>
      <w:pBdr>
        <w:top w:val="single" w:sz="8" w:space="1" w:color="D9D9D9"/>
        <w:bottom w:val="single" w:sz="8" w:space="1" w:color="D9D9D9"/>
      </w:pBdr>
      <w:spacing w:before="120" w:after="120"/>
    </w:pPr>
    <w:rPr>
      <w:rFonts w:ascii="Calibri" w:hAnsi="Calibri"/>
      <w:color w:val="54585A"/>
      <w:sz w:val="20"/>
    </w:rPr>
  </w:style>
  <w:style w:type="paragraph" w:customStyle="1" w:styleId="BulletLevel1">
    <w:name w:val="BulletLevel1"/>
    <w:qFormat/>
    <w:rsid w:val="009515F7"/>
    <w:pPr>
      <w:numPr>
        <w:numId w:val="3"/>
      </w:numPr>
      <w:tabs>
        <w:tab w:val="left" w:pos="284"/>
      </w:tabs>
      <w:spacing w:after="120" w:line="240" w:lineRule="auto"/>
      <w:ind w:left="284" w:hanging="284"/>
    </w:pPr>
    <w:rPr>
      <w:rFonts w:ascii="Calibri" w:hAnsi="Calibri" w:cs="MyriadPro-Bold"/>
      <w:bCs/>
      <w:color w:val="54585A"/>
      <w:sz w:val="20"/>
      <w:szCs w:val="20"/>
    </w:rPr>
  </w:style>
  <w:style w:type="paragraph" w:customStyle="1" w:styleId="TableBullet">
    <w:name w:val="TableBullet"/>
    <w:qFormat/>
    <w:rsid w:val="009515F7"/>
    <w:pPr>
      <w:numPr>
        <w:numId w:val="4"/>
      </w:numPr>
      <w:tabs>
        <w:tab w:val="left" w:pos="284"/>
      </w:tabs>
      <w:spacing w:before="80" w:after="80" w:line="240" w:lineRule="auto"/>
      <w:ind w:left="284" w:hanging="284"/>
    </w:pPr>
    <w:rPr>
      <w:rFonts w:ascii="Calibri" w:hAnsi="Calibri"/>
      <w:color w:val="54585A"/>
      <w:sz w:val="18"/>
      <w:szCs w:val="18"/>
    </w:rPr>
  </w:style>
  <w:style w:type="paragraph" w:customStyle="1" w:styleId="NoteLevel2">
    <w:name w:val="NoteLevel2"/>
    <w:qFormat/>
    <w:rsid w:val="00051F77"/>
    <w:pPr>
      <w:pBdr>
        <w:top w:val="single" w:sz="8" w:space="1" w:color="D9D9D9"/>
        <w:bottom w:val="single" w:sz="8" w:space="1" w:color="D9D9D9"/>
      </w:pBdr>
      <w:spacing w:before="120" w:after="120"/>
      <w:ind w:left="567"/>
    </w:pPr>
    <w:rPr>
      <w:rFonts w:ascii="Calibri" w:hAnsi="Calibri"/>
      <w:color w:val="54585A"/>
      <w:sz w:val="20"/>
    </w:rPr>
  </w:style>
  <w:style w:type="paragraph" w:customStyle="1" w:styleId="NumberedListL3">
    <w:name w:val="NumberedListL3"/>
    <w:qFormat/>
    <w:rsid w:val="00292062"/>
    <w:pPr>
      <w:numPr>
        <w:numId w:val="29"/>
      </w:numPr>
      <w:spacing w:after="120" w:line="240" w:lineRule="auto"/>
    </w:pPr>
    <w:rPr>
      <w:rFonts w:ascii="Calibri" w:hAnsi="Calibri"/>
      <w:color w:val="54585A"/>
      <w:sz w:val="20"/>
    </w:rPr>
  </w:style>
  <w:style w:type="paragraph" w:customStyle="1" w:styleId="ContactPage">
    <w:name w:val="ContactPage"/>
    <w:next w:val="Normal"/>
    <w:qFormat/>
    <w:rsid w:val="009515F7"/>
    <w:pPr>
      <w:spacing w:before="6000" w:after="240"/>
    </w:pPr>
    <w:rPr>
      <w:rFonts w:ascii="Calibri" w:eastAsiaTheme="majorEastAsia" w:hAnsi="Calibri" w:cstheme="majorBidi"/>
      <w:b/>
      <w:bCs/>
      <w:color w:val="EF3340"/>
      <w:sz w:val="34"/>
      <w:szCs w:val="28"/>
    </w:rPr>
  </w:style>
  <w:style w:type="paragraph" w:customStyle="1" w:styleId="OfficialInfo">
    <w:name w:val="OfficialInfo"/>
    <w:next w:val="Normal"/>
    <w:qFormat/>
    <w:rsid w:val="009515F7"/>
    <w:pPr>
      <w:spacing w:before="360" w:after="240"/>
    </w:pPr>
    <w:rPr>
      <w:rFonts w:ascii="Calibri" w:eastAsiaTheme="majorEastAsia" w:hAnsi="Calibri" w:cstheme="majorBidi"/>
      <w:b/>
      <w:bCs/>
      <w:color w:val="EF3340"/>
      <w:sz w:val="34"/>
      <w:szCs w:val="28"/>
    </w:rPr>
  </w:style>
  <w:style w:type="paragraph" w:customStyle="1" w:styleId="ImageLevel1">
    <w:name w:val="ImageLevel1"/>
    <w:next w:val="NumberedListL1"/>
    <w:qFormat/>
    <w:rsid w:val="009515F7"/>
    <w:pPr>
      <w:spacing w:before="60" w:after="120"/>
      <w:ind w:left="284"/>
    </w:pPr>
    <w:rPr>
      <w:rFonts w:ascii="Calibri" w:hAnsi="Calibri" w:cs="MyriadPro-Bold"/>
      <w:bCs/>
      <w:color w:val="54585A"/>
      <w:sz w:val="20"/>
      <w:szCs w:val="20"/>
    </w:rPr>
  </w:style>
  <w:style w:type="character" w:styleId="Strong">
    <w:name w:val="Strong"/>
    <w:basedOn w:val="DefaultParagraphFont"/>
    <w:uiPriority w:val="22"/>
    <w:qFormat/>
    <w:rsid w:val="00201710"/>
    <w:rPr>
      <w:b/>
      <w:bCs/>
    </w:rPr>
  </w:style>
  <w:style w:type="character" w:styleId="Emphasis">
    <w:name w:val="Emphasis"/>
    <w:basedOn w:val="DefaultParagraphFont"/>
    <w:uiPriority w:val="20"/>
    <w:qFormat/>
    <w:rsid w:val="0018152B"/>
    <w:rPr>
      <w:i/>
      <w:iCs/>
    </w:rPr>
  </w:style>
  <w:style w:type="character" w:customStyle="1" w:styleId="Heading4Char">
    <w:name w:val="Heading 4 Char"/>
    <w:basedOn w:val="DefaultParagraphFont"/>
    <w:link w:val="Heading4"/>
    <w:uiPriority w:val="9"/>
    <w:rsid w:val="00652313"/>
    <w:rPr>
      <w:rFonts w:ascii="Calibri" w:eastAsiaTheme="majorEastAsia" w:hAnsi="Calibri" w:cstheme="majorBidi"/>
      <w:b/>
      <w:iCs/>
      <w:color w:val="54585A"/>
      <w:sz w:val="20"/>
    </w:rPr>
  </w:style>
  <w:style w:type="paragraph" w:customStyle="1" w:styleId="TableNumber">
    <w:name w:val="TableNumber"/>
    <w:qFormat/>
    <w:rsid w:val="00051F77"/>
    <w:pPr>
      <w:numPr>
        <w:numId w:val="45"/>
      </w:numPr>
      <w:spacing w:before="80" w:after="80" w:line="240" w:lineRule="auto"/>
      <w:ind w:left="284" w:hanging="284"/>
    </w:pPr>
    <w:rPr>
      <w:rFonts w:ascii="Calibri" w:hAnsi="Calibri"/>
      <w:color w:val="54585A"/>
      <w:sz w:val="18"/>
      <w:szCs w:val="18"/>
    </w:rPr>
  </w:style>
  <w:style w:type="paragraph" w:customStyle="1" w:styleId="NoteLevel1">
    <w:name w:val="NoteLevel1"/>
    <w:qFormat/>
    <w:rsid w:val="00823DF4"/>
    <w:pPr>
      <w:pBdr>
        <w:top w:val="single" w:sz="8" w:space="1" w:color="D9D9D9"/>
        <w:bottom w:val="single" w:sz="8" w:space="1" w:color="D9D9D9"/>
      </w:pBdr>
      <w:spacing w:before="120" w:after="120"/>
      <w:ind w:left="284"/>
    </w:pPr>
    <w:rPr>
      <w:rFonts w:ascii="Calibri" w:hAnsi="Calibri"/>
      <w:color w:val="54585A"/>
      <w:sz w:val="20"/>
    </w:rPr>
  </w:style>
  <w:style w:type="paragraph" w:customStyle="1" w:styleId="NoteBodyBullet">
    <w:name w:val="NoteBodyBullet"/>
    <w:qFormat/>
    <w:rsid w:val="00823DF4"/>
    <w:pPr>
      <w:numPr>
        <w:numId w:val="46"/>
      </w:numPr>
      <w:pBdr>
        <w:top w:val="single" w:sz="8" w:space="1" w:color="D9D9D9"/>
        <w:bottom w:val="single" w:sz="8" w:space="1" w:color="D9D9D9"/>
      </w:pBdr>
      <w:spacing w:after="120"/>
      <w:ind w:left="284" w:hanging="284"/>
    </w:pPr>
    <w:rPr>
      <w:rFonts w:ascii="Calibri" w:hAnsi="Calibri"/>
      <w:color w:val="54585A"/>
      <w:sz w:val="20"/>
    </w:rPr>
  </w:style>
  <w:style w:type="paragraph" w:customStyle="1" w:styleId="NoteLevel1Bullet">
    <w:name w:val="NoteLevel1Bullet"/>
    <w:qFormat/>
    <w:rsid w:val="00823DF4"/>
    <w:pPr>
      <w:numPr>
        <w:numId w:val="47"/>
      </w:numPr>
      <w:pBdr>
        <w:top w:val="single" w:sz="8" w:space="1" w:color="D9D9D9"/>
        <w:bottom w:val="single" w:sz="8" w:space="1" w:color="D9D9D9"/>
      </w:pBdr>
      <w:spacing w:after="120"/>
      <w:ind w:left="568" w:hanging="284"/>
    </w:pPr>
    <w:rPr>
      <w:rFonts w:ascii="Calibri" w:hAnsi="Calibri"/>
      <w:color w:val="54585A"/>
      <w:sz w:val="20"/>
    </w:rPr>
  </w:style>
  <w:style w:type="paragraph" w:customStyle="1" w:styleId="NoteLevel2Bullet">
    <w:name w:val="NoteLevel2Bullet"/>
    <w:qFormat/>
    <w:rsid w:val="00823DF4"/>
    <w:pPr>
      <w:numPr>
        <w:numId w:val="48"/>
      </w:numPr>
      <w:pBdr>
        <w:top w:val="single" w:sz="8" w:space="1" w:color="D9D9D9"/>
        <w:bottom w:val="single" w:sz="8" w:space="1" w:color="D9D9D9"/>
      </w:pBdr>
      <w:spacing w:after="120"/>
      <w:ind w:left="851" w:hanging="284"/>
    </w:pPr>
    <w:rPr>
      <w:rFonts w:ascii="Calibri" w:hAnsi="Calibri"/>
      <w:color w:val="54585A"/>
      <w:sz w:val="20"/>
    </w:rPr>
  </w:style>
  <w:style w:type="paragraph" w:customStyle="1" w:styleId="NoteLevel3Bullet">
    <w:name w:val="NoteLevel3Bullet"/>
    <w:qFormat/>
    <w:rsid w:val="00823DF4"/>
    <w:pPr>
      <w:numPr>
        <w:numId w:val="49"/>
      </w:numPr>
      <w:pBdr>
        <w:top w:val="single" w:sz="8" w:space="1" w:color="D9D9D9"/>
        <w:bottom w:val="single" w:sz="8" w:space="1" w:color="D9D9D9"/>
      </w:pBdr>
      <w:spacing w:after="120"/>
      <w:ind w:left="1135" w:hanging="284"/>
    </w:pPr>
    <w:rPr>
      <w:rFonts w:ascii="Calibri" w:hAnsi="Calibri"/>
      <w:color w:val="54585A"/>
      <w:sz w:val="20"/>
    </w:rPr>
  </w:style>
  <w:style w:type="character" w:customStyle="1" w:styleId="Heading5Char">
    <w:name w:val="Heading 5 Char"/>
    <w:basedOn w:val="DefaultParagraphFont"/>
    <w:link w:val="Heading5"/>
    <w:uiPriority w:val="9"/>
    <w:semiHidden/>
    <w:rsid w:val="00227CE9"/>
    <w:rPr>
      <w:rFonts w:asciiTheme="majorHAnsi" w:eastAsiaTheme="majorEastAsia" w:hAnsiTheme="majorHAnsi" w:cstheme="majorBidi"/>
      <w:color w:val="3E4143" w:themeColor="accent1" w:themeShade="BF"/>
      <w:sz w:val="20"/>
    </w:rPr>
  </w:style>
  <w:style w:type="paragraph" w:styleId="NormalWeb">
    <w:name w:val="Normal (Web)"/>
    <w:basedOn w:val="Normal"/>
    <w:uiPriority w:val="99"/>
    <w:unhideWhenUsed/>
    <w:rsid w:val="00227CE9"/>
    <w:pPr>
      <w:spacing w:before="100" w:beforeAutospacing="1" w:after="100" w:afterAutospacing="1"/>
    </w:pPr>
    <w:rPr>
      <w:rFonts w:ascii="Times New Roman" w:eastAsia="Times New Roman" w:hAnsi="Times New Roman" w:cs="Times New Roman"/>
      <w:color w:val="auto"/>
      <w:sz w:val="24"/>
      <w:szCs w:val="24"/>
      <w:lang w:eastAsia="en-AU"/>
    </w:rPr>
  </w:style>
  <w:style w:type="character" w:customStyle="1" w:styleId="at4-visually-hidden">
    <w:name w:val="at4-visually-hidden"/>
    <w:basedOn w:val="DefaultParagraphFont"/>
    <w:rsid w:val="00227CE9"/>
  </w:style>
  <w:style w:type="character" w:styleId="CommentReference">
    <w:name w:val="annotation reference"/>
    <w:basedOn w:val="DefaultParagraphFont"/>
    <w:uiPriority w:val="99"/>
    <w:semiHidden/>
    <w:unhideWhenUsed/>
    <w:rsid w:val="00D65EA5"/>
    <w:rPr>
      <w:sz w:val="16"/>
      <w:szCs w:val="16"/>
    </w:rPr>
  </w:style>
  <w:style w:type="paragraph" w:styleId="CommentText">
    <w:name w:val="annotation text"/>
    <w:basedOn w:val="Normal"/>
    <w:link w:val="CommentTextChar"/>
    <w:uiPriority w:val="99"/>
    <w:semiHidden/>
    <w:unhideWhenUsed/>
    <w:rsid w:val="00D65EA5"/>
    <w:rPr>
      <w:szCs w:val="20"/>
    </w:rPr>
  </w:style>
  <w:style w:type="character" w:customStyle="1" w:styleId="CommentTextChar">
    <w:name w:val="Comment Text Char"/>
    <w:basedOn w:val="DefaultParagraphFont"/>
    <w:link w:val="CommentText"/>
    <w:uiPriority w:val="99"/>
    <w:semiHidden/>
    <w:rsid w:val="00D65EA5"/>
    <w:rPr>
      <w:rFonts w:ascii="Calibri" w:hAnsi="Calibri"/>
      <w:color w:val="54585A"/>
      <w:sz w:val="20"/>
      <w:szCs w:val="20"/>
    </w:rPr>
  </w:style>
  <w:style w:type="paragraph" w:styleId="CommentSubject">
    <w:name w:val="annotation subject"/>
    <w:basedOn w:val="CommentText"/>
    <w:next w:val="CommentText"/>
    <w:link w:val="CommentSubjectChar"/>
    <w:uiPriority w:val="99"/>
    <w:semiHidden/>
    <w:unhideWhenUsed/>
    <w:rsid w:val="00D65EA5"/>
    <w:rPr>
      <w:b/>
      <w:bCs/>
    </w:rPr>
  </w:style>
  <w:style w:type="character" w:customStyle="1" w:styleId="CommentSubjectChar">
    <w:name w:val="Comment Subject Char"/>
    <w:basedOn w:val="CommentTextChar"/>
    <w:link w:val="CommentSubject"/>
    <w:uiPriority w:val="99"/>
    <w:semiHidden/>
    <w:rsid w:val="00D65EA5"/>
    <w:rPr>
      <w:rFonts w:ascii="Calibri" w:hAnsi="Calibri"/>
      <w:b/>
      <w:bCs/>
      <w:color w:val="54585A"/>
      <w:sz w:val="20"/>
      <w:szCs w:val="20"/>
    </w:rPr>
  </w:style>
  <w:style w:type="paragraph" w:styleId="Revision">
    <w:name w:val="Revision"/>
    <w:hidden/>
    <w:uiPriority w:val="99"/>
    <w:semiHidden/>
    <w:rsid w:val="00CD761E"/>
    <w:pPr>
      <w:spacing w:after="0" w:line="240" w:lineRule="auto"/>
    </w:pPr>
    <w:rPr>
      <w:rFonts w:ascii="Calibri" w:hAnsi="Calibri"/>
      <w:color w:val="54585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116382">
      <w:bodyDiv w:val="1"/>
      <w:marLeft w:val="0"/>
      <w:marRight w:val="0"/>
      <w:marTop w:val="0"/>
      <w:marBottom w:val="0"/>
      <w:divBdr>
        <w:top w:val="none" w:sz="0" w:space="0" w:color="auto"/>
        <w:left w:val="none" w:sz="0" w:space="0" w:color="auto"/>
        <w:bottom w:val="none" w:sz="0" w:space="0" w:color="auto"/>
        <w:right w:val="none" w:sz="0" w:space="0" w:color="auto"/>
      </w:divBdr>
    </w:div>
    <w:div w:id="1601836362">
      <w:bodyDiv w:val="1"/>
      <w:marLeft w:val="0"/>
      <w:marRight w:val="0"/>
      <w:marTop w:val="0"/>
      <w:marBottom w:val="0"/>
      <w:divBdr>
        <w:top w:val="none" w:sz="0" w:space="0" w:color="auto"/>
        <w:left w:val="none" w:sz="0" w:space="0" w:color="auto"/>
        <w:bottom w:val="none" w:sz="0" w:space="0" w:color="auto"/>
        <w:right w:val="none" w:sz="0" w:space="0" w:color="auto"/>
      </w:divBdr>
      <w:divsChild>
        <w:div w:id="571693508">
          <w:marLeft w:val="0"/>
          <w:marRight w:val="0"/>
          <w:marTop w:val="0"/>
          <w:marBottom w:val="0"/>
          <w:divBdr>
            <w:top w:val="none" w:sz="0" w:space="0" w:color="auto"/>
            <w:left w:val="none" w:sz="0" w:space="0" w:color="auto"/>
            <w:bottom w:val="none" w:sz="0" w:space="0" w:color="auto"/>
            <w:right w:val="none" w:sz="0" w:space="0" w:color="auto"/>
          </w:divBdr>
          <w:divsChild>
            <w:div w:id="796143427">
              <w:marLeft w:val="0"/>
              <w:marRight w:val="0"/>
              <w:marTop w:val="0"/>
              <w:marBottom w:val="0"/>
              <w:divBdr>
                <w:top w:val="none" w:sz="0" w:space="0" w:color="auto"/>
                <w:left w:val="none" w:sz="0" w:space="0" w:color="auto"/>
                <w:bottom w:val="none" w:sz="0" w:space="0" w:color="auto"/>
                <w:right w:val="none" w:sz="0" w:space="0" w:color="auto"/>
              </w:divBdr>
            </w:div>
            <w:div w:id="1667436940">
              <w:marLeft w:val="0"/>
              <w:marRight w:val="0"/>
              <w:marTop w:val="0"/>
              <w:marBottom w:val="0"/>
              <w:divBdr>
                <w:top w:val="none" w:sz="0" w:space="0" w:color="auto"/>
                <w:left w:val="none" w:sz="0" w:space="0" w:color="auto"/>
                <w:bottom w:val="none" w:sz="0" w:space="0" w:color="auto"/>
                <w:right w:val="none" w:sz="0" w:space="0" w:color="auto"/>
              </w:divBdr>
              <w:divsChild>
                <w:div w:id="17854496">
                  <w:marLeft w:val="0"/>
                  <w:marRight w:val="0"/>
                  <w:marTop w:val="0"/>
                  <w:marBottom w:val="0"/>
                  <w:divBdr>
                    <w:top w:val="none" w:sz="0" w:space="0" w:color="auto"/>
                    <w:left w:val="none" w:sz="0" w:space="0" w:color="auto"/>
                    <w:bottom w:val="none" w:sz="0" w:space="0" w:color="auto"/>
                    <w:right w:val="none" w:sz="0" w:space="0" w:color="auto"/>
                  </w:divBdr>
                  <w:divsChild>
                    <w:div w:id="241640884">
                      <w:marLeft w:val="0"/>
                      <w:marRight w:val="0"/>
                      <w:marTop w:val="0"/>
                      <w:marBottom w:val="0"/>
                      <w:divBdr>
                        <w:top w:val="none" w:sz="0" w:space="0" w:color="auto"/>
                        <w:left w:val="none" w:sz="0" w:space="0" w:color="auto"/>
                        <w:bottom w:val="none" w:sz="0" w:space="0" w:color="auto"/>
                        <w:right w:val="none" w:sz="0" w:space="0" w:color="auto"/>
                      </w:divBdr>
                      <w:divsChild>
                        <w:div w:id="1239251220">
                          <w:marLeft w:val="0"/>
                          <w:marRight w:val="0"/>
                          <w:marTop w:val="0"/>
                          <w:marBottom w:val="0"/>
                          <w:divBdr>
                            <w:top w:val="none" w:sz="0" w:space="0" w:color="auto"/>
                            <w:left w:val="none" w:sz="0" w:space="0" w:color="auto"/>
                            <w:bottom w:val="none" w:sz="0" w:space="0" w:color="auto"/>
                            <w:right w:val="none" w:sz="0" w:space="0" w:color="auto"/>
                          </w:divBdr>
                          <w:divsChild>
                            <w:div w:id="101372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221116">
                  <w:marLeft w:val="0"/>
                  <w:marRight w:val="0"/>
                  <w:marTop w:val="0"/>
                  <w:marBottom w:val="0"/>
                  <w:divBdr>
                    <w:top w:val="none" w:sz="0" w:space="0" w:color="auto"/>
                    <w:left w:val="none" w:sz="0" w:space="0" w:color="auto"/>
                    <w:bottom w:val="none" w:sz="0" w:space="0" w:color="auto"/>
                    <w:right w:val="none" w:sz="0" w:space="0" w:color="auto"/>
                  </w:divBdr>
                  <w:divsChild>
                    <w:div w:id="867597424">
                      <w:marLeft w:val="0"/>
                      <w:marRight w:val="0"/>
                      <w:marTop w:val="0"/>
                      <w:marBottom w:val="0"/>
                      <w:divBdr>
                        <w:top w:val="none" w:sz="0" w:space="0" w:color="auto"/>
                        <w:left w:val="none" w:sz="0" w:space="0" w:color="auto"/>
                        <w:bottom w:val="none" w:sz="0" w:space="0" w:color="auto"/>
                        <w:right w:val="none" w:sz="0" w:space="0" w:color="auto"/>
                      </w:divBdr>
                    </w:div>
                  </w:divsChild>
                </w:div>
                <w:div w:id="843863541">
                  <w:marLeft w:val="0"/>
                  <w:marRight w:val="0"/>
                  <w:marTop w:val="0"/>
                  <w:marBottom w:val="0"/>
                  <w:divBdr>
                    <w:top w:val="none" w:sz="0" w:space="0" w:color="auto"/>
                    <w:left w:val="none" w:sz="0" w:space="0" w:color="auto"/>
                    <w:bottom w:val="none" w:sz="0" w:space="0" w:color="auto"/>
                    <w:right w:val="none" w:sz="0" w:space="0" w:color="auto"/>
                  </w:divBdr>
                  <w:divsChild>
                    <w:div w:id="39794186">
                      <w:marLeft w:val="0"/>
                      <w:marRight w:val="0"/>
                      <w:marTop w:val="0"/>
                      <w:marBottom w:val="0"/>
                      <w:divBdr>
                        <w:top w:val="none" w:sz="0" w:space="0" w:color="auto"/>
                        <w:left w:val="none" w:sz="0" w:space="0" w:color="auto"/>
                        <w:bottom w:val="none" w:sz="0" w:space="0" w:color="auto"/>
                        <w:right w:val="none" w:sz="0" w:space="0" w:color="auto"/>
                      </w:divBdr>
                    </w:div>
                  </w:divsChild>
                </w:div>
                <w:div w:id="909736180">
                  <w:marLeft w:val="0"/>
                  <w:marRight w:val="0"/>
                  <w:marTop w:val="0"/>
                  <w:marBottom w:val="0"/>
                  <w:divBdr>
                    <w:top w:val="none" w:sz="0" w:space="0" w:color="auto"/>
                    <w:left w:val="none" w:sz="0" w:space="0" w:color="auto"/>
                    <w:bottom w:val="none" w:sz="0" w:space="0" w:color="auto"/>
                    <w:right w:val="none" w:sz="0" w:space="0" w:color="auto"/>
                  </w:divBdr>
                  <w:divsChild>
                    <w:div w:id="11249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hyperlink" Target="http://acquire.com.au/" TargetMode="External"/><Relationship Id="rId13" Type="http://schemas.openxmlformats.org/officeDocument/2006/relationships/hyperlink" Target="https://www.acquire.com.au/technology/technology-partners/" TargetMode="External"/><Relationship Id="rId14" Type="http://schemas.openxmlformats.org/officeDocument/2006/relationships/hyperlink" Target="mailto:info@acquire.com.au" TargetMode="External"/><Relationship Id="rId15" Type="http://schemas.openxmlformats.org/officeDocument/2006/relationships/hyperlink" Target="http://www.reflexnow.com" TargetMode="External"/><Relationship Id="rId16" Type="http://schemas.openxmlformats.org/officeDocument/2006/relationships/hyperlink" Target="http://www.imdexlimited.com" TargetMode="External"/><Relationship Id="rId17" Type="http://schemas.openxmlformats.org/officeDocument/2006/relationships/hyperlink" Target="mailto:michelle.carey@imdexlimited.com" TargetMode="External"/><Relationship Id="rId18" Type="http://schemas.openxmlformats.org/officeDocument/2006/relationships/hyperlink" Target="mailto:diane.porteous@imdexlimited.com"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
      <a:dk1>
        <a:srgbClr val="EF3340"/>
      </a:dk1>
      <a:lt1>
        <a:sysClr val="window" lastClr="FFFFFF"/>
      </a:lt1>
      <a:dk2>
        <a:srgbClr val="54585A"/>
      </a:dk2>
      <a:lt2>
        <a:srgbClr val="EEECE1"/>
      </a:lt2>
      <a:accent1>
        <a:srgbClr val="54585A"/>
      </a:accent1>
      <a:accent2>
        <a:srgbClr val="EF3340"/>
      </a:accent2>
      <a:accent3>
        <a:srgbClr val="FFFFFF"/>
      </a:accent3>
      <a:accent4>
        <a:srgbClr val="00AEC7"/>
      </a:accent4>
      <a:accent5>
        <a:srgbClr val="00B74F"/>
      </a:accent5>
      <a:accent6>
        <a:srgbClr val="D70025"/>
      </a:accent6>
      <a:hlink>
        <a:srgbClr val="000000"/>
      </a:hlink>
      <a:folHlink>
        <a:srgbClr val="00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8ac031d5-99f5-4316-8d20-3797b19b6256" ContentTypeId="0x0101090066E02939087D8A499706E2C1B32A15E5"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aper_x0020_Size xmlns="06f81990-153e-466c-b8a3-ef65b72b9c94" xsi:nil="true"/>
    <gea42c3c773d4fc9883bb978936aeb53 xmlns="06f81990-153e-466c-b8a3-ef65b72b9c94">
      <Terms xmlns="http://schemas.microsoft.com/office/infopath/2007/PartnerControls"/>
    </gea42c3c773d4fc9883bb978936aeb53>
    <f9a5fce0fce445c6b74b14ffc5a5e12f xmlns="06f81990-153e-466c-b8a3-ef65b72b9c94">
      <Terms xmlns="http://schemas.microsoft.com/office/infopath/2007/PartnerControls"/>
    </f9a5fce0fce445c6b74b14ffc5a5e12f>
    <TaxCatchAll xmlns="06f81990-153e-466c-b8a3-ef65b72b9c94">
      <Value>2</Value>
      <Value>1</Value>
    </TaxCatchAll>
    <h3db2e864e814783a2db269a7cbfb520 xmlns="06f81990-153e-466c-b8a3-ef65b72b9c94">
      <Terms xmlns="http://schemas.microsoft.com/office/infopath/2007/PartnerControls">
        <TermInfo xmlns="http://schemas.microsoft.com/office/infopath/2007/PartnerControls">
          <TermName xmlns="http://schemas.microsoft.com/office/infopath/2007/PartnerControls">Marketing</TermName>
          <TermId xmlns="http://schemas.microsoft.com/office/infopath/2007/PartnerControls">c19c7efd-d6ba-4868-b077-0ec57ff89643</TermId>
        </TermInfo>
      </Terms>
    </h3db2e864e814783a2db269a7cbfb520>
    <j4eb78cc73324614823c324f5d1622e5 xmlns="06f81990-153e-466c-b8a3-ef65b72b9c94">
      <Terms xmlns="http://schemas.microsoft.com/office/infopath/2007/PartnerControls"/>
    </j4eb78cc73324614823c324f5d1622e5>
    <f4c1cee161494f5eb2aa093b8aa5dca0 xmlns="06f81990-153e-466c-b8a3-ef65b72b9c94">
      <Terms xmlns="http://schemas.microsoft.com/office/infopath/2007/PartnerControls">
        <TermInfo xmlns="http://schemas.microsoft.com/office/infopath/2007/PartnerControls">
          <TermName xmlns="http://schemas.microsoft.com/office/infopath/2007/PartnerControls">s(Stakeholders)</TermName>
          <TermId xmlns="http://schemas.microsoft.com/office/infopath/2007/PartnerControls">d2c98f53-26f4-4e2f-9c4d-8be1aceb978b</TermId>
        </TermInfo>
      </Terms>
    </f4c1cee161494f5eb2aa093b8aa5dca0>
  </documentManagement>
</p:properties>
</file>

<file path=customXml/item4.xml><?xml version="1.0" encoding="utf-8"?>
<ct:contentTypeSchema xmlns:ct="http://schemas.microsoft.com/office/2006/metadata/contentType" xmlns:ma="http://schemas.microsoft.com/office/2006/metadata/properties/metaAttributes" ct:_="" ma:_="" ma:contentTypeName="acQuire Template" ma:contentTypeID="0x0101090066E02939087D8A499706E2C1B32A15E5003CBEBE46DE0872478C3A631A6B29122C" ma:contentTypeVersion="8" ma:contentTypeDescription="" ma:contentTypeScope="" ma:versionID="058953c9981db16837125732459b4633">
  <xsd:schema xmlns:xsd="http://www.w3.org/2001/XMLSchema" xmlns:xs="http://www.w3.org/2001/XMLSchema" xmlns:p="http://schemas.microsoft.com/office/2006/metadata/properties" xmlns:ns2="06f81990-153e-466c-b8a3-ef65b72b9c94" targetNamespace="http://schemas.microsoft.com/office/2006/metadata/properties" ma:root="true" ma:fieldsID="51dbe25dd7aa543753e13ea1673f7119" ns2:_="">
    <xsd:import namespace="06f81990-153e-466c-b8a3-ef65b72b9c94"/>
    <xsd:element name="properties">
      <xsd:complexType>
        <xsd:sequence>
          <xsd:element name="documentManagement">
            <xsd:complexType>
              <xsd:all>
                <xsd:element ref="ns2:h3db2e864e814783a2db269a7cbfb520" minOccurs="0"/>
                <xsd:element ref="ns2:TaxCatchAll" minOccurs="0"/>
                <xsd:element ref="ns2:TaxCatchAllLabel" minOccurs="0"/>
                <xsd:element ref="ns2:f4c1cee161494f5eb2aa093b8aa5dca0" minOccurs="0"/>
                <xsd:element ref="ns2:gea42c3c773d4fc9883bb978936aeb53" minOccurs="0"/>
                <xsd:element ref="ns2:j4eb78cc73324614823c324f5d1622e5" minOccurs="0"/>
                <xsd:element ref="ns2:Paper_x0020_Size" minOccurs="0"/>
                <xsd:element ref="ns2:f9a5fce0fce445c6b74b14ffc5a5e1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f81990-153e-466c-b8a3-ef65b72b9c94" elementFormDefault="qualified">
    <xsd:import namespace="http://schemas.microsoft.com/office/2006/documentManagement/types"/>
    <xsd:import namespace="http://schemas.microsoft.com/office/infopath/2007/PartnerControls"/>
    <xsd:element name="h3db2e864e814783a2db269a7cbfb520" ma:index="8" nillable="true" ma:taxonomy="true" ma:internalName="h3db2e864e814783a2db269a7cbfb520" ma:taxonomyFieldName="Department_x0027_s_x0020_Budget" ma:displayName="acQuire Department" ma:default="10;#Any/All Department|4df74e42-75a1-4e70-9e3a-b2e18b80eb38" ma:fieldId="{13db2e86-4e81-4783-a2db-269a7cbfb520}" ma:sspId="8ac031d5-99f5-4316-8d20-3797b19b6256" ma:termSetId="cb9e6efe-16a5-4be5-9ebc-7bbbae4ab3cc"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9188336-3c6e-4aed-a170-c7b2bcb24169}" ma:internalName="TaxCatchAll" ma:showField="CatchAllData" ma:web="06f81990-153e-466c-b8a3-ef65b72b9c94">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9188336-3c6e-4aed-a170-c7b2bcb24169}" ma:internalName="TaxCatchAllLabel" ma:readOnly="true" ma:showField="CatchAllDataLabel" ma:web="06f81990-153e-466c-b8a3-ef65b72b9c94">
      <xsd:complexType>
        <xsd:complexContent>
          <xsd:extension base="dms:MultiChoiceLookup">
            <xsd:sequence>
              <xsd:element name="Value" type="dms:Lookup" maxOccurs="unbounded" minOccurs="0" nillable="true"/>
            </xsd:sequence>
          </xsd:extension>
        </xsd:complexContent>
      </xsd:complexType>
    </xsd:element>
    <xsd:element name="f4c1cee161494f5eb2aa093b8aa5dca0" ma:index="12" nillable="true" ma:taxonomy="true" ma:internalName="f4c1cee161494f5eb2aa093b8aa5dca0" ma:taxonomyFieldName="Budget_ValueStream_Sucession" ma:displayName="acQuire ValueStream or Sucession" ma:default="" ma:fieldId="{f4c1cee1-6149-4f5e-b2aa-093b8aa5dca0}" ma:taxonomyMulti="true" ma:sspId="8ac031d5-99f5-4316-8d20-3797b19b6256" ma:termSetId="f8b5d78f-40e6-4cf0-b77c-0f44e6ce2382" ma:anchorId="00000000-0000-0000-0000-000000000000" ma:open="false" ma:isKeyword="false">
      <xsd:complexType>
        <xsd:sequence>
          <xsd:element ref="pc:Terms" minOccurs="0" maxOccurs="1"/>
        </xsd:sequence>
      </xsd:complexType>
    </xsd:element>
    <xsd:element name="gea42c3c773d4fc9883bb978936aeb53" ma:index="14" nillable="true" ma:taxonomy="true" ma:internalName="gea42c3c773d4fc9883bb978936aeb53" ma:taxonomyFieldName="acQuire_x0020_Language" ma:displayName="acQuire Language" ma:default="9;#English|7c489c82-226d-461a-a54e-a96fb4729f5c" ma:fieldId="{0ea42c3c-773d-4fc9-883b-b978936aeb53}" ma:sspId="8ac031d5-99f5-4316-8d20-3797b19b6256" ma:termSetId="0edf662c-df9a-4c1d-8558-84df367c8270" ma:anchorId="00000000-0000-0000-0000-000000000000" ma:open="false" ma:isKeyword="false">
      <xsd:complexType>
        <xsd:sequence>
          <xsd:element ref="pc:Terms" minOccurs="0" maxOccurs="1"/>
        </xsd:sequence>
      </xsd:complexType>
    </xsd:element>
    <xsd:element name="j4eb78cc73324614823c324f5d1622e5" ma:index="16" nillable="true" ma:taxonomy="true" ma:internalName="j4eb78cc73324614823c324f5d1622e5" ma:taxonomyFieldName="acQuire_x0020_Office" ma:displayName="acQuire Office" ma:default="8;#Any/All Locations|c70b4e20-c1a8-4757-8f50-27da5eb15115" ma:fieldId="{34eb78cc-7332-4614-823c-324f5d1622e5}" ma:sspId="8ac031d5-99f5-4316-8d20-3797b19b6256" ma:termSetId="891405d1-7410-4381-afd2-4492a66785f9" ma:anchorId="00000000-0000-0000-0000-000000000000" ma:open="false" ma:isKeyword="false">
      <xsd:complexType>
        <xsd:sequence>
          <xsd:element ref="pc:Terms" minOccurs="0" maxOccurs="1"/>
        </xsd:sequence>
      </xsd:complexType>
    </xsd:element>
    <xsd:element name="Paper_x0020_Size" ma:index="18" nillable="true" ma:displayName="acQuire Paper Size" ma:default="A4" ma:format="Dropdown" ma:internalName="Paper_x0020_Size">
      <xsd:simpleType>
        <xsd:restriction base="dms:Choice">
          <xsd:enumeration value="A4"/>
          <xsd:enumeration value="Letter"/>
        </xsd:restriction>
      </xsd:simpleType>
    </xsd:element>
    <xsd:element name="f9a5fce0fce445c6b74b14ffc5a5e12f" ma:index="19" nillable="true" ma:taxonomy="true" ma:internalName="f9a5fce0fce445c6b74b14ffc5a5e12f" ma:taxonomyFieldName="Budget_Region" ma:displayName="acQuire Region" ma:default="7;#All Regions|fa7e0471-7449-4b4e-a4fd-979ffd92af6c" ma:fieldId="{f9a5fce0-fce4-45c6-b74b-14ffc5a5e12f}" ma:taxonomyMulti="true" ma:sspId="8ac031d5-99f5-4316-8d20-3797b19b6256" ma:termSetId="15634108-8167-4ce9-adb0-46cd382d06d1"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C307F6-7AF9-41B6-84D1-A1352D81FA4B}">
  <ds:schemaRefs>
    <ds:schemaRef ds:uri="Microsoft.SharePoint.Taxonomy.ContentTypeSync"/>
  </ds:schemaRefs>
</ds:datastoreItem>
</file>

<file path=customXml/itemProps2.xml><?xml version="1.0" encoding="utf-8"?>
<ds:datastoreItem xmlns:ds="http://schemas.openxmlformats.org/officeDocument/2006/customXml" ds:itemID="{0D482FD2-1E8C-4789-9784-6C066D342324}">
  <ds:schemaRefs>
    <ds:schemaRef ds:uri="http://schemas.microsoft.com/sharepoint/v3/contenttype/forms"/>
  </ds:schemaRefs>
</ds:datastoreItem>
</file>

<file path=customXml/itemProps3.xml><?xml version="1.0" encoding="utf-8"?>
<ds:datastoreItem xmlns:ds="http://schemas.openxmlformats.org/officeDocument/2006/customXml" ds:itemID="{93E4886D-1352-41AD-8B90-D410EFCB6BBC}">
  <ds:schemaRefs>
    <ds:schemaRef ds:uri="http://schemas.microsoft.com/office/2006/metadata/properties"/>
    <ds:schemaRef ds:uri="06f81990-153e-466c-b8a3-ef65b72b9c94"/>
    <ds:schemaRef ds:uri="http://schemas.microsoft.com/office/infopath/2007/PartnerControls"/>
  </ds:schemaRefs>
</ds:datastoreItem>
</file>

<file path=customXml/itemProps4.xml><?xml version="1.0" encoding="utf-8"?>
<ds:datastoreItem xmlns:ds="http://schemas.openxmlformats.org/officeDocument/2006/customXml" ds:itemID="{A0828996-85BB-4C11-8AF5-2EEBF51CD6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f81990-153e-466c-b8a3-ef65b72b9c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F3377E5-3E7A-5A48-95B4-73E47A0DD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752</Words>
  <Characters>4293</Characters>
  <Application>Microsoft Macintosh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General purpose template – red logo</vt:lpstr>
    </vt:vector>
  </TitlesOfParts>
  <Company>Imdex Limited</Company>
  <LinksUpToDate>false</LinksUpToDate>
  <CharactersWithSpaces>5035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purpose template – red logo</dc:title>
  <dc:creator>Meesha Stacker</dc:creator>
  <cp:lastModifiedBy>Priscilla Moroke</cp:lastModifiedBy>
  <cp:revision>2</cp:revision>
  <cp:lastPrinted>2017-09-14T01:36:00Z</cp:lastPrinted>
  <dcterms:created xsi:type="dcterms:W3CDTF">2017-09-28T06:55:00Z</dcterms:created>
  <dcterms:modified xsi:type="dcterms:W3CDTF">2017-09-28T06:55:00Z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0x0101090066E02939087D8A499706E2C1B32A15E5003CBEBE46DE0872478C3A631A6B29122C</vt:lpwstr>
  </property>
  <property fmtid="{D5CDD505-2E9C-101B-9397-08002B2CF9AE}" pid="3" name="Department">
    <vt:lpwstr>Marketing</vt:lpwstr>
  </property>
  <property fmtid="{D5CDD505-2E9C-101B-9397-08002B2CF9AE}" pid="4" name="Budget_Region">
    <vt:lpwstr/>
  </property>
  <property fmtid="{D5CDD505-2E9C-101B-9397-08002B2CF9AE}" pid="5" name="Paper Size">
    <vt:lpwstr>A4</vt:lpwstr>
  </property>
  <property fmtid="{D5CDD505-2E9C-101B-9397-08002B2CF9AE}" pid="6" name="gea42c3c773d4fc9883bb978936aeb53">
    <vt:lpwstr>English|7c489c82-226d-461a-a54e-a96fb4729f5c</vt:lpwstr>
  </property>
  <property fmtid="{D5CDD505-2E9C-101B-9397-08002B2CF9AE}" pid="7" name="f9a5fce0fce445c6b74b14ffc5a5e12f">
    <vt:lpwstr>Any/All Regions|fa7e0471-7449-4b4e-a4fd-979ffd92af6c</vt:lpwstr>
  </property>
  <property fmtid="{D5CDD505-2E9C-101B-9397-08002B2CF9AE}" pid="8" name="TaxCatchAll">
    <vt:lpwstr>9;#;#8;#;#2;#;#1;#;#7;#</vt:lpwstr>
  </property>
  <property fmtid="{D5CDD505-2E9C-101B-9397-08002B2CF9AE}" pid="9" name="Budget_ValueStream_Sucession">
    <vt:lpwstr>2;#s(Stakeholders)|d2c98f53-26f4-4e2f-9c4d-8be1aceb978b</vt:lpwstr>
  </property>
  <property fmtid="{D5CDD505-2E9C-101B-9397-08002B2CF9AE}" pid="10" name="h3db2e864e814783a2db269a7cbfb520">
    <vt:lpwstr>Marketing|c19c7efd-d6ba-4868-b077-0ec57ff89643</vt:lpwstr>
  </property>
  <property fmtid="{D5CDD505-2E9C-101B-9397-08002B2CF9AE}" pid="11" name="j4eb78cc73324614823c324f5d1622e5">
    <vt:lpwstr>Any/All Locations|c70b4e20-c1a8-4757-8f50-27da5eb15115</vt:lpwstr>
  </property>
  <property fmtid="{D5CDD505-2E9C-101B-9397-08002B2CF9AE}" pid="12" name="f4c1cee161494f5eb2aa093b8aa5dca0">
    <vt:lpwstr>s(Stakeholders)|d2c98f53-26f4-4e2f-9c4d-8be1aceb978b</vt:lpwstr>
  </property>
  <property fmtid="{D5CDD505-2E9C-101B-9397-08002B2CF9AE}" pid="13" name="acQuire_x0020_Language">
    <vt:lpwstr/>
  </property>
  <property fmtid="{D5CDD505-2E9C-101B-9397-08002B2CF9AE}" pid="14" name="acQuire_x0020_Office">
    <vt:lpwstr/>
  </property>
  <property fmtid="{D5CDD505-2E9C-101B-9397-08002B2CF9AE}" pid="15" name="Department_x0027_s_x0020_Budget">
    <vt:lpwstr>1;#Marketing|c19c7efd-d6ba-4868-b077-0ec57ff89643</vt:lpwstr>
  </property>
  <property fmtid="{D5CDD505-2E9C-101B-9397-08002B2CF9AE}" pid="16" name="Department's Budget">
    <vt:lpwstr>1</vt:lpwstr>
  </property>
  <property fmtid="{D5CDD505-2E9C-101B-9397-08002B2CF9AE}" pid="17" name="acQuire Office">
    <vt:lpwstr/>
  </property>
  <property fmtid="{D5CDD505-2E9C-101B-9397-08002B2CF9AE}" pid="18" name="acQuire Language">
    <vt:lpwstr/>
  </property>
</Properties>
</file>