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D66705" w14:textId="77777777" w:rsidR="000E4941" w:rsidRPr="000E4941" w:rsidRDefault="000E4941">
      <w:pPr>
        <w:rPr>
          <w:b/>
          <w:sz w:val="24"/>
          <w:szCs w:val="24"/>
        </w:rPr>
      </w:pPr>
      <w:bookmarkStart w:id="0" w:name="_GoBack"/>
      <w:bookmarkEnd w:id="0"/>
      <w:r w:rsidRPr="000E4941">
        <w:rPr>
          <w:b/>
          <w:sz w:val="24"/>
          <w:szCs w:val="24"/>
        </w:rPr>
        <w:t xml:space="preserve">Pipeline Monitoring Systems Market worth 8.72 Billion USD by 2026 </w:t>
      </w:r>
    </w:p>
    <w:p w14:paraId="043B1EA9" w14:textId="77777777" w:rsidR="000E4941" w:rsidRPr="000E4941" w:rsidRDefault="000E4941">
      <w:pPr>
        <w:rPr>
          <w:sz w:val="24"/>
          <w:szCs w:val="24"/>
        </w:rPr>
      </w:pPr>
      <w:r w:rsidRPr="000E4941">
        <w:rPr>
          <w:sz w:val="24"/>
          <w:szCs w:val="24"/>
        </w:rPr>
        <w:t>The report "</w:t>
      </w:r>
      <w:r w:rsidRPr="000E4941">
        <w:rPr>
          <w:b/>
          <w:sz w:val="24"/>
          <w:szCs w:val="24"/>
        </w:rPr>
        <w:t>Pipeline Monitoring Systems Market by Technology (Ultrasonic, PIGs, Smart Ball, and Magnetic Flux Leakage), Application (Leak Detection, Operating Efficiency, and Pipeline Break Detection), End-Use Industry, and Pipe Type - Global Forecast to 2026</w:t>
      </w:r>
      <w:r w:rsidRPr="000E4941">
        <w:rPr>
          <w:sz w:val="24"/>
          <w:szCs w:val="24"/>
        </w:rPr>
        <w:t xml:space="preserve">", The pipeline monitoring systems market size is estimated to grow from USD 4.13 Billion in 2015 to USD 8.72 Billion by 2026, at a compound annual growth rate (CAGR) of 7.1% from 2016 to 2026. </w:t>
      </w:r>
    </w:p>
    <w:p w14:paraId="6B13E5D3" w14:textId="77777777" w:rsidR="00B96038" w:rsidRPr="000E4941" w:rsidRDefault="000E4941">
      <w:pPr>
        <w:rPr>
          <w:sz w:val="24"/>
          <w:szCs w:val="24"/>
        </w:rPr>
      </w:pPr>
      <w:r w:rsidRPr="000E4941">
        <w:rPr>
          <w:b/>
          <w:bCs/>
          <w:sz w:val="24"/>
          <w:szCs w:val="24"/>
        </w:rPr>
        <w:t xml:space="preserve">Browse </w:t>
      </w:r>
      <w:r>
        <w:rPr>
          <w:b/>
          <w:bCs/>
          <w:sz w:val="24"/>
          <w:szCs w:val="24"/>
        </w:rPr>
        <w:t xml:space="preserve">full report description along with TOC </w:t>
      </w:r>
      <w:r w:rsidRPr="000E4941">
        <w:rPr>
          <w:b/>
          <w:bCs/>
          <w:sz w:val="24"/>
          <w:szCs w:val="24"/>
        </w:rPr>
        <w:t>at:</w:t>
      </w:r>
      <w:r w:rsidRPr="000E4941">
        <w:rPr>
          <w:rStyle w:val="Strong"/>
          <w:rFonts w:cs="Open Sans"/>
          <w:color w:val="262626"/>
          <w:sz w:val="24"/>
          <w:szCs w:val="24"/>
          <w:shd w:val="clear" w:color="auto" w:fill="FFFFFF"/>
        </w:rPr>
        <w:t xml:space="preserve"> </w:t>
      </w:r>
      <w:hyperlink r:id="rId4" w:history="1">
        <w:r w:rsidRPr="000E4941">
          <w:rPr>
            <w:rStyle w:val="Hyperlink"/>
            <w:sz w:val="24"/>
            <w:szCs w:val="24"/>
          </w:rPr>
          <w:t>http://www.marketsandmarkets.com/Market-Reports/pipeline-monitoring-system-market-138709351.html</w:t>
        </w:r>
      </w:hyperlink>
      <w:r w:rsidR="00A74DAD" w:rsidRPr="000E4941">
        <w:rPr>
          <w:sz w:val="24"/>
          <w:szCs w:val="24"/>
        </w:rPr>
        <w:t xml:space="preserve"> </w:t>
      </w:r>
    </w:p>
    <w:p w14:paraId="7564C4D6"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Fonts w:asciiTheme="minorHAnsi" w:hAnsiTheme="minorHAnsi" w:cs="Arial"/>
          <w:color w:val="000000"/>
        </w:rPr>
        <w:t>The pipeline monitoring systems market is expected to witness high growth as a result of increased number of oil &amp; gas leakages in production, pipelines, and storage tanks due to natural disasters and high pressure along with stringent government regulations for pipeline safety and security and expansion and upgradation of pipelines. The growth in trend of the development of new devices and solutions to monitor the pipeline performance, optimize the resources, automate the functions, and safeguard the operations fuels the growth of pipeline monitoring systems.</w:t>
      </w:r>
    </w:p>
    <w:p w14:paraId="35E0493E"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Style w:val="Strong"/>
          <w:rFonts w:asciiTheme="minorHAnsi" w:hAnsiTheme="minorHAnsi" w:cs="Arial"/>
          <w:color w:val="000000"/>
        </w:rPr>
        <w:t>Ultrasonic technology sector to gain maximum traction during the forecast period</w:t>
      </w:r>
    </w:p>
    <w:p w14:paraId="7866A0F8"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Fonts w:asciiTheme="minorHAnsi" w:hAnsiTheme="minorHAnsi" w:cs="Arial"/>
          <w:color w:val="000000"/>
        </w:rPr>
        <w:t>The ultrasonic technology segment dominated the market in 2015; however, smart ball technology is projected to be the fastest-growing technology in the next ten years. This could be attributed to the easy deployment of these balls through pipelines with long inspection capability from single deployment. The growth in demand for ultrasonic technology in the pipeline monitoring systems sector is because it is preferred by many oil &amp; gas companies to detect small and large leakages.</w:t>
      </w:r>
    </w:p>
    <w:p w14:paraId="143A34F2" w14:textId="77777777" w:rsidR="00017E90" w:rsidRPr="000E4941" w:rsidRDefault="000E4941" w:rsidP="000E4941">
      <w:pPr>
        <w:rPr>
          <w:sz w:val="24"/>
          <w:szCs w:val="24"/>
        </w:rPr>
      </w:pPr>
      <w:r w:rsidRPr="000E4941">
        <w:rPr>
          <w:b/>
          <w:sz w:val="24"/>
          <w:szCs w:val="24"/>
        </w:rPr>
        <w:t xml:space="preserve"> Download PDF b</w:t>
      </w:r>
      <w:r w:rsidR="00017E90" w:rsidRPr="000E4941">
        <w:rPr>
          <w:b/>
          <w:sz w:val="24"/>
          <w:szCs w:val="24"/>
        </w:rPr>
        <w:t xml:space="preserve">rochure </w:t>
      </w:r>
      <w:r w:rsidRPr="000E4941">
        <w:rPr>
          <w:b/>
          <w:sz w:val="24"/>
          <w:szCs w:val="24"/>
        </w:rPr>
        <w:t>at:</w:t>
      </w:r>
      <w:r w:rsidR="00017E90" w:rsidRPr="000E4941">
        <w:rPr>
          <w:sz w:val="24"/>
          <w:szCs w:val="24"/>
        </w:rPr>
        <w:t xml:space="preserve"> </w:t>
      </w:r>
      <w:hyperlink r:id="rId5" w:history="1">
        <w:r w:rsidRPr="000E4941">
          <w:rPr>
            <w:rStyle w:val="Hyperlink"/>
            <w:sz w:val="24"/>
            <w:szCs w:val="24"/>
          </w:rPr>
          <w:t>http://www.marketsandmarkets.com/pdfdownload.asp?id=138709351</w:t>
        </w:r>
      </w:hyperlink>
    </w:p>
    <w:p w14:paraId="180DDC4B"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Style w:val="Strong"/>
          <w:rFonts w:asciiTheme="minorHAnsi" w:hAnsiTheme="minorHAnsi" w:cs="Arial"/>
          <w:color w:val="000000"/>
        </w:rPr>
        <w:t>Leak detection segment estimated to be the fastest-growing segment during the forecast period</w:t>
      </w:r>
    </w:p>
    <w:p w14:paraId="66C8DB72"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Fonts w:asciiTheme="minorHAnsi" w:hAnsiTheme="minorHAnsi" w:cs="Arial"/>
          <w:color w:val="000000"/>
        </w:rPr>
        <w:t>On the basis of application, the leak detection segment is projected to grow at a higher CAGR from 2016 to 2026. This could be attributed to the increasing focus on improving the control over pipeline infrastructure and automating the process to improve productivity, which would enable the monitoring of the conditions of assets and raise an alarm in case of unauthorized events. One of the major reason of leak detection application to grow includes, increase in investments from oil &amp; gas companies in pipeline monitoring infrastructures and safe transportation of the material through it.</w:t>
      </w:r>
    </w:p>
    <w:p w14:paraId="42979914"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Style w:val="Strong"/>
          <w:rFonts w:asciiTheme="minorHAnsi" w:hAnsiTheme="minorHAnsi" w:cs="Arial"/>
          <w:color w:val="000000"/>
        </w:rPr>
        <w:lastRenderedPageBreak/>
        <w:t>The North American region constitutes the largest market share in the pipeline monitoring systems market</w:t>
      </w:r>
    </w:p>
    <w:p w14:paraId="4CD866FC"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Fonts w:asciiTheme="minorHAnsi" w:hAnsiTheme="minorHAnsi" w:cs="Arial"/>
          <w:color w:val="000000"/>
        </w:rPr>
        <w:t>North America contributes a major market share in the global pipeline monitoring systems market. The North American market is projected to grow at the highest rate than other regions as many new pipelines are under construction in this region. Europe constitutes the second largest market share in pipeline monitoring systems while Asia-Pacific is projected to register the highest growth after North America from 2016 to 2021. Emerging economies such as India, China and Japan are projected to grow at moderate CAGRs between 2016 and 2021.</w:t>
      </w:r>
    </w:p>
    <w:p w14:paraId="24F3BFC5" w14:textId="77777777" w:rsidR="000E4941" w:rsidRPr="000E4941" w:rsidRDefault="000E4941" w:rsidP="000E4941">
      <w:pPr>
        <w:pStyle w:val="NormalWeb"/>
        <w:shd w:val="clear" w:color="auto" w:fill="FFFFFF"/>
        <w:jc w:val="both"/>
        <w:rPr>
          <w:rFonts w:asciiTheme="minorHAnsi" w:hAnsiTheme="minorHAnsi" w:cs="Arial"/>
          <w:color w:val="000000"/>
        </w:rPr>
      </w:pPr>
      <w:r w:rsidRPr="000E4941">
        <w:rPr>
          <w:rFonts w:asciiTheme="minorHAnsi" w:hAnsiTheme="minorHAnsi" w:cs="Arial"/>
          <w:color w:val="000000"/>
        </w:rPr>
        <w:t>The major players in the pipeline monitoring systems market include Siemens AG (Germany), Honeywell International Inc. (U.S.), BAE Systems (U.K.), Perma Pipes (U.S.), Transcanada (Canada), PSI AG (Germany), Pure Technology (Canada), Orbcomm Inc. (U.S.), Huawei (China), and Pentair PLC. (U.K.).</w:t>
      </w:r>
    </w:p>
    <w:p w14:paraId="3610A376" w14:textId="77777777" w:rsidR="000E4941" w:rsidRPr="000E4941" w:rsidRDefault="000E4941" w:rsidP="000E4941">
      <w:pPr>
        <w:pStyle w:val="NormalWeb"/>
        <w:shd w:val="clear" w:color="auto" w:fill="FFFFFF"/>
        <w:rPr>
          <w:rFonts w:asciiTheme="minorHAnsi" w:hAnsiTheme="minorHAnsi"/>
          <w:b/>
          <w:color w:val="333333"/>
          <w:shd w:val="clear" w:color="auto" w:fill="FFFFFF"/>
        </w:rPr>
      </w:pPr>
      <w:r w:rsidRPr="000E4941">
        <w:rPr>
          <w:rFonts w:asciiTheme="minorHAnsi" w:hAnsiTheme="minorHAnsi"/>
          <w:b/>
          <w:color w:val="333333"/>
          <w:shd w:val="clear" w:color="auto" w:fill="FFFFFF"/>
        </w:rPr>
        <w:t>About MarketsandMarkets™:</w:t>
      </w:r>
    </w:p>
    <w:p w14:paraId="375BB6DE" w14:textId="77777777" w:rsidR="000E4941" w:rsidRPr="000E4941" w:rsidRDefault="000E4941" w:rsidP="000E4941">
      <w:pPr>
        <w:pStyle w:val="NormalWeb"/>
        <w:shd w:val="clear" w:color="auto" w:fill="FFFFFF"/>
        <w:rPr>
          <w:rFonts w:asciiTheme="minorHAnsi" w:hAnsiTheme="minorHAnsi" w:cs="Arial"/>
          <w:color w:val="000000"/>
        </w:rPr>
      </w:pPr>
      <w:r w:rsidRPr="000E4941">
        <w:rPr>
          <w:rFonts w:asciiTheme="minorHAnsi" w:hAnsiTheme="minorHAnsi"/>
          <w:color w:val="333333"/>
        </w:rPr>
        <w:br/>
      </w:r>
      <w:r w:rsidRPr="000E4941">
        <w:rPr>
          <w:rFonts w:asciiTheme="minorHAnsi" w:hAnsiTheme="minorHAnsi"/>
          <w:color w:val="333333"/>
          <w:shd w:val="clear" w:color="auto" w:fill="FFFFFF"/>
        </w:rPr>
        <w:t>MarketsandMarkets™ provides quantified B2B research on 30,000 high growth niche opportunities/threats which will impact 70% to 80% of worldwide companies’ revenues. Currently servicing 5000 customers worldwide including 80% of global Fortune 1000 companies as clients. Almost 75,000 top officers across eight industries worldwide approach MarketsandMarkets™ for their painpoints around revenues decisions. </w:t>
      </w:r>
      <w:r w:rsidRPr="000E4941">
        <w:rPr>
          <w:rFonts w:asciiTheme="minorHAnsi" w:hAnsiTheme="minorHAnsi"/>
          <w:color w:val="333333"/>
        </w:rPr>
        <w:br/>
      </w:r>
      <w:r w:rsidRPr="000E4941">
        <w:rPr>
          <w:rFonts w:asciiTheme="minorHAnsi" w:hAnsiTheme="minorHAnsi"/>
          <w:color w:val="333333"/>
        </w:rPr>
        <w:br/>
      </w:r>
      <w:r w:rsidRPr="000E4941">
        <w:rPr>
          <w:rFonts w:asciiTheme="minorHAnsi" w:hAnsiTheme="minorHAnsi"/>
          <w:color w:val="333333"/>
          <w:shd w:val="clear" w:color="auto" w:fill="FFFFFF"/>
        </w:rPr>
        <w:t>Our 850 fulltime analyst and SMEs at MarketsandMarkets™ are tracking global high growth markets following the "Growth Engagement Model – GEM". The GEM aims at proactive collaboration with the clients to identify new opportunities, identify most important customers, write "Attack, avoid and defend" strategies, identify sources of incremental revenues for both the company and its competitors. MarketsandMarkets™ now coming up with 1,500 MicroQuadrants (Positioning top players across leaders, emerging companies, innovators, strategic players) annually in high growth emerging segments. MarketsandMarkets™ is determined to benefit more than 10,000 companies this year for their revenue planning and help them take their innovations/disruptions early to the market by providing them research ahead of the curve. </w:t>
      </w:r>
      <w:r w:rsidRPr="000E4941">
        <w:rPr>
          <w:rFonts w:asciiTheme="minorHAnsi" w:hAnsiTheme="minorHAnsi"/>
          <w:color w:val="333333"/>
        </w:rPr>
        <w:br/>
      </w:r>
      <w:r w:rsidRPr="000E4941">
        <w:rPr>
          <w:rFonts w:asciiTheme="minorHAnsi" w:hAnsiTheme="minorHAnsi"/>
          <w:color w:val="333333"/>
        </w:rPr>
        <w:br/>
      </w:r>
      <w:r w:rsidRPr="000E4941">
        <w:rPr>
          <w:rFonts w:asciiTheme="minorHAnsi" w:hAnsiTheme="minorHAnsi"/>
          <w:color w:val="333333"/>
          <w:shd w:val="clear" w:color="auto" w:fill="FFFFFF"/>
        </w:rPr>
        <w:t>MarketsandMarkets’s flagship competitive intelligence and market research platform, "RT" connects over 200,000 markets and entire value chains for deeper understanding of the unmet insights along with market sizing and forecasts of niche markets. </w:t>
      </w:r>
      <w:r w:rsidRPr="000E4941">
        <w:rPr>
          <w:rFonts w:asciiTheme="minorHAnsi" w:hAnsiTheme="minorHAnsi"/>
          <w:color w:val="333333"/>
        </w:rPr>
        <w:br/>
      </w:r>
      <w:r w:rsidRPr="000E4941">
        <w:rPr>
          <w:rFonts w:asciiTheme="minorHAnsi" w:hAnsiTheme="minorHAnsi"/>
          <w:color w:val="333333"/>
        </w:rPr>
        <w:br/>
      </w:r>
      <w:r w:rsidRPr="000E4941">
        <w:rPr>
          <w:rFonts w:asciiTheme="minorHAnsi" w:hAnsiTheme="minorHAnsi"/>
          <w:b/>
          <w:color w:val="333333"/>
          <w:shd w:val="clear" w:color="auto" w:fill="FFFFFF"/>
        </w:rPr>
        <w:t>Contact:</w:t>
      </w:r>
      <w:r w:rsidRPr="000E4941">
        <w:rPr>
          <w:rFonts w:asciiTheme="minorHAnsi" w:hAnsiTheme="minorHAnsi"/>
          <w:color w:val="333333"/>
        </w:rPr>
        <w:br/>
      </w:r>
      <w:r w:rsidRPr="000E4941">
        <w:rPr>
          <w:rFonts w:asciiTheme="minorHAnsi" w:hAnsiTheme="minorHAnsi"/>
          <w:color w:val="333333"/>
          <w:shd w:val="clear" w:color="auto" w:fill="FFFFFF"/>
        </w:rPr>
        <w:t>Mr. Rohan</w:t>
      </w:r>
      <w:r w:rsidRPr="000E4941">
        <w:rPr>
          <w:rFonts w:asciiTheme="minorHAnsi" w:hAnsiTheme="minorHAnsi"/>
          <w:color w:val="333333"/>
        </w:rPr>
        <w:br/>
      </w:r>
      <w:r w:rsidRPr="000E4941">
        <w:rPr>
          <w:rFonts w:asciiTheme="minorHAnsi" w:hAnsiTheme="minorHAnsi"/>
          <w:color w:val="333333"/>
          <w:shd w:val="clear" w:color="auto" w:fill="FFFFFF"/>
        </w:rPr>
        <w:t>MarketsandMarkets™</w:t>
      </w:r>
      <w:r w:rsidRPr="000E4941">
        <w:rPr>
          <w:rFonts w:asciiTheme="minorHAnsi" w:hAnsiTheme="minorHAnsi"/>
          <w:color w:val="333333"/>
        </w:rPr>
        <w:br/>
      </w:r>
      <w:r w:rsidRPr="000E4941">
        <w:rPr>
          <w:rFonts w:asciiTheme="minorHAnsi" w:hAnsiTheme="minorHAnsi"/>
          <w:color w:val="333333"/>
          <w:shd w:val="clear" w:color="auto" w:fill="FFFFFF"/>
        </w:rPr>
        <w:t>701 Pike Street </w:t>
      </w:r>
      <w:r w:rsidRPr="000E4941">
        <w:rPr>
          <w:rFonts w:asciiTheme="minorHAnsi" w:hAnsiTheme="minorHAnsi"/>
          <w:color w:val="333333"/>
        </w:rPr>
        <w:br/>
      </w:r>
      <w:r w:rsidRPr="000E4941">
        <w:rPr>
          <w:rFonts w:asciiTheme="minorHAnsi" w:hAnsiTheme="minorHAnsi"/>
          <w:color w:val="333333"/>
          <w:shd w:val="clear" w:color="auto" w:fill="FFFFFF"/>
        </w:rPr>
        <w:t>Suite 2175, Seattle, </w:t>
      </w:r>
      <w:r w:rsidRPr="000E4941">
        <w:rPr>
          <w:rFonts w:asciiTheme="minorHAnsi" w:hAnsiTheme="minorHAnsi"/>
          <w:color w:val="333333"/>
        </w:rPr>
        <w:br/>
      </w:r>
      <w:r w:rsidRPr="000E4941">
        <w:rPr>
          <w:rFonts w:asciiTheme="minorHAnsi" w:hAnsiTheme="minorHAnsi"/>
          <w:color w:val="333333"/>
          <w:shd w:val="clear" w:color="auto" w:fill="FFFFFF"/>
        </w:rPr>
        <w:lastRenderedPageBreak/>
        <w:t>WA 98101, United States </w:t>
      </w:r>
      <w:r w:rsidRPr="000E4941">
        <w:rPr>
          <w:rFonts w:asciiTheme="minorHAnsi" w:hAnsiTheme="minorHAnsi"/>
          <w:color w:val="333333"/>
        </w:rPr>
        <w:br/>
      </w:r>
      <w:r w:rsidRPr="000E4941">
        <w:rPr>
          <w:rFonts w:asciiTheme="minorHAnsi" w:hAnsiTheme="minorHAnsi"/>
          <w:color w:val="333333"/>
          <w:shd w:val="clear" w:color="auto" w:fill="FFFFFF"/>
        </w:rPr>
        <w:t>Tel: 1-888-600-6441</w:t>
      </w:r>
    </w:p>
    <w:p w14:paraId="548323AF" w14:textId="77777777" w:rsidR="00701820" w:rsidRPr="000E4941" w:rsidRDefault="00701820">
      <w:pPr>
        <w:rPr>
          <w:sz w:val="24"/>
          <w:szCs w:val="24"/>
        </w:rPr>
      </w:pPr>
    </w:p>
    <w:p w14:paraId="45FCE3E4" w14:textId="77777777" w:rsidR="00912088" w:rsidRPr="000E4941" w:rsidRDefault="00912088">
      <w:pPr>
        <w:rPr>
          <w:b/>
          <w:sz w:val="24"/>
          <w:szCs w:val="24"/>
        </w:rPr>
      </w:pPr>
    </w:p>
    <w:sectPr w:rsidR="00912088" w:rsidRPr="000E49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088"/>
    <w:rsid w:val="00017E90"/>
    <w:rsid w:val="000E4941"/>
    <w:rsid w:val="001965A2"/>
    <w:rsid w:val="001B2CD8"/>
    <w:rsid w:val="0030114D"/>
    <w:rsid w:val="00401ADD"/>
    <w:rsid w:val="004339DB"/>
    <w:rsid w:val="005B3CA7"/>
    <w:rsid w:val="00616888"/>
    <w:rsid w:val="006930EC"/>
    <w:rsid w:val="00700C0F"/>
    <w:rsid w:val="00701820"/>
    <w:rsid w:val="00846D40"/>
    <w:rsid w:val="00912088"/>
    <w:rsid w:val="009D3BF2"/>
    <w:rsid w:val="00A30786"/>
    <w:rsid w:val="00A74DAD"/>
    <w:rsid w:val="00AA21DA"/>
    <w:rsid w:val="00B96038"/>
    <w:rsid w:val="00C86A7B"/>
    <w:rsid w:val="00F212E7"/>
    <w:rsid w:val="00FA2AED"/>
    <w:rsid w:val="00FF7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A5EEC"/>
  <w15:docId w15:val="{1151B638-9743-4345-BBFE-94D4D73E7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1820"/>
    <w:rPr>
      <w:color w:val="0000FF" w:themeColor="hyperlink"/>
      <w:u w:val="single"/>
    </w:rPr>
  </w:style>
  <w:style w:type="paragraph" w:styleId="NormalWeb">
    <w:name w:val="Normal (Web)"/>
    <w:basedOn w:val="Normal"/>
    <w:uiPriority w:val="99"/>
    <w:semiHidden/>
    <w:unhideWhenUsed/>
    <w:rsid w:val="004339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39DB"/>
    <w:rPr>
      <w:b/>
      <w:bCs/>
    </w:rPr>
  </w:style>
  <w:style w:type="character" w:styleId="Mention">
    <w:name w:val="Mention"/>
    <w:basedOn w:val="DefaultParagraphFont"/>
    <w:uiPriority w:val="99"/>
    <w:semiHidden/>
    <w:unhideWhenUsed/>
    <w:rsid w:val="000E494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830809">
      <w:bodyDiv w:val="1"/>
      <w:marLeft w:val="0"/>
      <w:marRight w:val="0"/>
      <w:marTop w:val="0"/>
      <w:marBottom w:val="0"/>
      <w:divBdr>
        <w:top w:val="none" w:sz="0" w:space="0" w:color="auto"/>
        <w:left w:val="none" w:sz="0" w:space="0" w:color="auto"/>
        <w:bottom w:val="none" w:sz="0" w:space="0" w:color="auto"/>
        <w:right w:val="none" w:sz="0" w:space="0" w:color="auto"/>
      </w:divBdr>
    </w:div>
    <w:div w:id="834683458">
      <w:bodyDiv w:val="1"/>
      <w:marLeft w:val="0"/>
      <w:marRight w:val="0"/>
      <w:marTop w:val="0"/>
      <w:marBottom w:val="0"/>
      <w:divBdr>
        <w:top w:val="none" w:sz="0" w:space="0" w:color="auto"/>
        <w:left w:val="none" w:sz="0" w:space="0" w:color="auto"/>
        <w:bottom w:val="none" w:sz="0" w:space="0" w:color="auto"/>
        <w:right w:val="none" w:sz="0" w:space="0" w:color="auto"/>
      </w:divBdr>
    </w:div>
    <w:div w:id="841429462">
      <w:bodyDiv w:val="1"/>
      <w:marLeft w:val="0"/>
      <w:marRight w:val="0"/>
      <w:marTop w:val="0"/>
      <w:marBottom w:val="0"/>
      <w:divBdr>
        <w:top w:val="none" w:sz="0" w:space="0" w:color="auto"/>
        <w:left w:val="none" w:sz="0" w:space="0" w:color="auto"/>
        <w:bottom w:val="none" w:sz="0" w:space="0" w:color="auto"/>
        <w:right w:val="none" w:sz="0" w:space="0" w:color="auto"/>
      </w:divBdr>
    </w:div>
    <w:div w:id="1793132202">
      <w:bodyDiv w:val="1"/>
      <w:marLeft w:val="0"/>
      <w:marRight w:val="0"/>
      <w:marTop w:val="0"/>
      <w:marBottom w:val="0"/>
      <w:divBdr>
        <w:top w:val="none" w:sz="0" w:space="0" w:color="auto"/>
        <w:left w:val="none" w:sz="0" w:space="0" w:color="auto"/>
        <w:bottom w:val="none" w:sz="0" w:space="0" w:color="auto"/>
        <w:right w:val="none" w:sz="0" w:space="0" w:color="auto"/>
      </w:divBdr>
    </w:div>
    <w:div w:id="1808234423">
      <w:bodyDiv w:val="1"/>
      <w:marLeft w:val="0"/>
      <w:marRight w:val="0"/>
      <w:marTop w:val="0"/>
      <w:marBottom w:val="0"/>
      <w:divBdr>
        <w:top w:val="none" w:sz="0" w:space="0" w:color="auto"/>
        <w:left w:val="none" w:sz="0" w:space="0" w:color="auto"/>
        <w:bottom w:val="none" w:sz="0" w:space="0" w:color="auto"/>
        <w:right w:val="none" w:sz="0" w:space="0" w:color="auto"/>
      </w:divBdr>
    </w:div>
    <w:div w:id="1834643497">
      <w:bodyDiv w:val="1"/>
      <w:marLeft w:val="0"/>
      <w:marRight w:val="0"/>
      <w:marTop w:val="0"/>
      <w:marBottom w:val="0"/>
      <w:divBdr>
        <w:top w:val="none" w:sz="0" w:space="0" w:color="auto"/>
        <w:left w:val="none" w:sz="0" w:space="0" w:color="auto"/>
        <w:bottom w:val="none" w:sz="0" w:space="0" w:color="auto"/>
        <w:right w:val="none" w:sz="0" w:space="0" w:color="auto"/>
      </w:divBdr>
    </w:div>
    <w:div w:id="214356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marketsandmarkets.com/Market-Reports/pipeline-monitoring-system-market-138709351.html?utm_source=s-d" TargetMode="External"/><Relationship Id="rId5" Type="http://schemas.openxmlformats.org/officeDocument/2006/relationships/hyperlink" Target="http://www.marketsandmarkets.com/pdfdownload.asp?id=138709351&amp;utm_source=s-d"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800</Words>
  <Characters>4562</Characters>
  <Application>Microsoft Macintosh Word</Application>
  <DocSecurity>0</DocSecurity>
  <Lines>38</Lines>
  <Paragraphs>10</Paragraphs>
  <ScaleCrop>false</ScaleCrop>
  <Company/>
  <LinksUpToDate>false</LinksUpToDate>
  <CharactersWithSpaces>5352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Ganesh.Kunjir</dc:creator>
  <cp:lastModifiedBy>Priscilla Moroke</cp:lastModifiedBy>
  <cp:revision>2</cp:revision>
  <dcterms:created xsi:type="dcterms:W3CDTF">2017-07-25T11:34:00Z</dcterms:created>
  <dcterms:modified xsi:type="dcterms:W3CDTF">2017-07-25T11:34:00Z</dcterms:modified>
</cp:coreProperties>
</file>