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4CA9CF" w14:textId="77777777" w:rsidR="00AD7A7B" w:rsidRPr="0087410B" w:rsidRDefault="00C16EA3" w:rsidP="00307275">
      <w:pPr>
        <w:pStyle w:val="Heading1"/>
        <w:spacing w:before="240"/>
        <w:rPr>
          <w:rFonts w:ascii="LindeDaxOffice" w:hAnsi="LindeDaxOffice"/>
          <w:color w:val="auto"/>
          <w:sz w:val="32"/>
          <w:szCs w:val="32"/>
          <w:lang w:val="en-GB"/>
        </w:rPr>
      </w:pPr>
      <w:bookmarkStart w:id="0" w:name="_GoBack"/>
      <w:bookmarkEnd w:id="0"/>
      <w:r>
        <w:rPr>
          <w:rFonts w:ascii="LindeDaxOffice" w:eastAsia="LindeDaxOffice" w:hAnsi="LindeDaxOffice" w:cs="LindeDaxOffice"/>
          <w:color w:val="auto"/>
          <w:sz w:val="32"/>
          <w:szCs w:val="32"/>
          <w:bdr w:val="nil"/>
          <w:lang w:val="en-GB"/>
        </w:rPr>
        <w:t>Sasol and Linde conclude long</w:t>
      </w:r>
      <w:r w:rsidR="0074556E">
        <w:rPr>
          <w:rFonts w:ascii="LindeDaxOffice" w:eastAsia="LindeDaxOffice" w:hAnsi="LindeDaxOffice" w:cs="LindeDaxOffice"/>
          <w:color w:val="auto"/>
          <w:sz w:val="32"/>
          <w:szCs w:val="32"/>
          <w:bdr w:val="nil"/>
          <w:lang w:val="en-GB"/>
        </w:rPr>
        <w:t>-</w:t>
      </w:r>
      <w:r w:rsidR="000D46CC" w:rsidRPr="0087410B">
        <w:rPr>
          <w:rFonts w:ascii="LindeDaxOffice" w:eastAsia="LindeDaxOffice" w:hAnsi="LindeDaxOffice" w:cs="LindeDaxOffice"/>
          <w:color w:val="auto"/>
          <w:sz w:val="32"/>
          <w:szCs w:val="32"/>
          <w:bdr w:val="nil"/>
          <w:lang w:val="en-GB"/>
        </w:rPr>
        <w:t>term agreement for engineering services</w:t>
      </w:r>
    </w:p>
    <w:p w14:paraId="471B52E0" w14:textId="77777777" w:rsidR="00AD7A7B" w:rsidRPr="00782778" w:rsidRDefault="00AD7A7B" w:rsidP="00782778">
      <w:pPr>
        <w:rPr>
          <w:sz w:val="22"/>
          <w:lang w:val="en-GB"/>
        </w:rPr>
      </w:pPr>
    </w:p>
    <w:p w14:paraId="7E472BC5" w14:textId="0BE59813" w:rsidR="000D46CC" w:rsidRPr="000D46CC" w:rsidRDefault="000D46CC" w:rsidP="000D46CC">
      <w:pPr>
        <w:spacing w:line="360" w:lineRule="exact"/>
        <w:rPr>
          <w:rFonts w:eastAsia="LindeDaxOffice" w:cs="LindeDaxOffice"/>
          <w:color w:val="000000"/>
          <w:sz w:val="22"/>
          <w:bdr w:val="nil"/>
          <w:lang w:val="en-GB" w:eastAsia="en-GB"/>
        </w:rPr>
      </w:pPr>
      <w:r w:rsidRPr="000D46CC">
        <w:rPr>
          <w:rFonts w:eastAsia="LindeDaxOffice" w:cs="LindeDaxOffice"/>
          <w:b/>
          <w:bCs/>
          <w:color w:val="000000"/>
          <w:sz w:val="22"/>
          <w:bdr w:val="nil"/>
          <w:lang w:val="en-GB" w:eastAsia="en-GB"/>
        </w:rPr>
        <w:t>Johannesburg</w:t>
      </w:r>
      <w:r w:rsidR="00AD7A7B" w:rsidRPr="00DB0833">
        <w:rPr>
          <w:rFonts w:eastAsia="LindeDaxOffice" w:cs="LindeDaxOffice"/>
          <w:b/>
          <w:bCs/>
          <w:color w:val="000000"/>
          <w:sz w:val="22"/>
          <w:bdr w:val="nil"/>
          <w:lang w:val="en-GB" w:eastAsia="en-GB"/>
        </w:rPr>
        <w:t xml:space="preserve">, </w:t>
      </w:r>
      <w:r>
        <w:rPr>
          <w:rFonts w:eastAsia="LindeDaxOffice" w:cs="LindeDaxOffice"/>
          <w:b/>
          <w:bCs/>
          <w:color w:val="000000"/>
          <w:sz w:val="22"/>
          <w:bdr w:val="nil"/>
          <w:lang w:val="en-GB" w:eastAsia="en-GB"/>
        </w:rPr>
        <w:t>South Africa</w:t>
      </w:r>
      <w:r w:rsidR="00AD7A7B" w:rsidRPr="00DB0833">
        <w:rPr>
          <w:rFonts w:eastAsia="LindeDaxOffice" w:cs="LindeDaxOffice"/>
          <w:b/>
          <w:bCs/>
          <w:color w:val="000000"/>
          <w:sz w:val="22"/>
          <w:bdr w:val="nil"/>
          <w:lang w:val="en-GB" w:eastAsia="en-GB"/>
        </w:rPr>
        <w:t xml:space="preserve"> / Pullach, Germany, </w:t>
      </w:r>
      <w:r w:rsidR="0039327E">
        <w:rPr>
          <w:rFonts w:eastAsia="LindeDaxOffice" w:cs="LindeDaxOffice"/>
          <w:b/>
          <w:bCs/>
          <w:color w:val="000000"/>
          <w:sz w:val="22"/>
          <w:bdr w:val="nil"/>
          <w:lang w:val="en-GB" w:eastAsia="en-GB"/>
        </w:rPr>
        <w:t xml:space="preserve">15 </w:t>
      </w:r>
      <w:r w:rsidR="00893B17">
        <w:rPr>
          <w:rFonts w:eastAsia="LindeDaxOffice" w:cs="LindeDaxOffice"/>
          <w:b/>
          <w:bCs/>
          <w:color w:val="000000"/>
          <w:sz w:val="22"/>
          <w:bdr w:val="nil"/>
          <w:lang w:val="en-GB" w:eastAsia="en-GB"/>
        </w:rPr>
        <w:t>May</w:t>
      </w:r>
      <w:r w:rsidR="00893B17" w:rsidRPr="00DB0833">
        <w:rPr>
          <w:rFonts w:eastAsia="LindeDaxOffice" w:cs="LindeDaxOffice"/>
          <w:b/>
          <w:bCs/>
          <w:color w:val="000000"/>
          <w:sz w:val="22"/>
          <w:bdr w:val="nil"/>
          <w:lang w:val="en-GB" w:eastAsia="en-GB"/>
        </w:rPr>
        <w:t xml:space="preserve"> </w:t>
      </w:r>
      <w:r w:rsidR="00AD7A7B" w:rsidRPr="00DB0833">
        <w:rPr>
          <w:rFonts w:eastAsia="LindeDaxOffice" w:cs="LindeDaxOffice"/>
          <w:b/>
          <w:bCs/>
          <w:color w:val="000000"/>
          <w:sz w:val="22"/>
          <w:bdr w:val="nil"/>
          <w:lang w:val="en-GB" w:eastAsia="en-GB"/>
        </w:rPr>
        <w:t>2017</w:t>
      </w:r>
      <w:r w:rsidR="009B4346" w:rsidRPr="00131D36">
        <w:rPr>
          <w:rFonts w:eastAsia="LindeDaxGlobal" w:cs="LindeDaxGlobal"/>
          <w:b/>
          <w:color w:val="000000"/>
          <w:sz w:val="22"/>
          <w:lang w:eastAsia="en-GB"/>
        </w:rPr>
        <w:t xml:space="preserve"> </w:t>
      </w:r>
      <w:r w:rsidR="009B4346" w:rsidRPr="00131D36">
        <w:rPr>
          <w:rFonts w:eastAsia="LindeDaxGlobal" w:cs="LindeDaxGlobal"/>
          <w:color w:val="000000"/>
          <w:sz w:val="22"/>
          <w:lang w:eastAsia="en-GB"/>
        </w:rPr>
        <w:t xml:space="preserve">– </w:t>
      </w:r>
      <w:r w:rsidRPr="000D46CC">
        <w:rPr>
          <w:rFonts w:eastAsia="LindeDaxOffice" w:cs="LindeDaxOffice"/>
          <w:color w:val="000000"/>
          <w:sz w:val="22"/>
          <w:bdr w:val="nil"/>
          <w:lang w:val="en-GB" w:eastAsia="en-GB"/>
        </w:rPr>
        <w:t xml:space="preserve">Sasol South Africa (Pty) </w:t>
      </w:r>
      <w:r w:rsidR="00C951AC" w:rsidRPr="000D46CC">
        <w:rPr>
          <w:rFonts w:eastAsia="LindeDaxOffice" w:cs="LindeDaxOffice"/>
          <w:color w:val="000000"/>
          <w:sz w:val="22"/>
          <w:bdr w:val="nil"/>
          <w:lang w:val="en-GB" w:eastAsia="en-GB"/>
        </w:rPr>
        <w:t>Limited</w:t>
      </w:r>
      <w:r w:rsidRPr="000D46CC">
        <w:rPr>
          <w:rFonts w:eastAsia="LindeDaxOffice" w:cs="LindeDaxOffice"/>
          <w:color w:val="000000"/>
          <w:sz w:val="22"/>
          <w:bdr w:val="nil"/>
          <w:lang w:val="en-GB" w:eastAsia="en-GB"/>
        </w:rPr>
        <w:t xml:space="preserve">, duly represented by Group Technology, a division of Sasol South Africa (Pty) </w:t>
      </w:r>
      <w:r w:rsidR="00C951AC" w:rsidRPr="000D46CC">
        <w:rPr>
          <w:rFonts w:eastAsia="LindeDaxOffice" w:cs="LindeDaxOffice"/>
          <w:color w:val="000000"/>
          <w:sz w:val="22"/>
          <w:bdr w:val="nil"/>
          <w:lang w:val="en-GB" w:eastAsia="en-GB"/>
        </w:rPr>
        <w:t>Ltd</w:t>
      </w:r>
      <w:r w:rsidR="005A37EE">
        <w:rPr>
          <w:rFonts w:eastAsia="LindeDaxOffice" w:cs="LindeDaxOffice"/>
          <w:color w:val="000000"/>
          <w:sz w:val="22"/>
          <w:bdr w:val="nil"/>
          <w:lang w:val="en-GB" w:eastAsia="en-GB"/>
        </w:rPr>
        <w:t>,</w:t>
      </w:r>
      <w:r w:rsidR="00C951AC" w:rsidRPr="000D46CC">
        <w:rPr>
          <w:rFonts w:eastAsia="LindeDaxOffice" w:cs="LindeDaxOffice"/>
          <w:color w:val="000000"/>
          <w:sz w:val="22"/>
          <w:bdr w:val="nil"/>
          <w:lang w:val="en-GB" w:eastAsia="en-GB"/>
        </w:rPr>
        <w:t xml:space="preserve"> </w:t>
      </w:r>
      <w:r w:rsidRPr="000D46CC">
        <w:rPr>
          <w:rFonts w:eastAsia="LindeDaxOffice" w:cs="LindeDaxOffice"/>
          <w:color w:val="000000"/>
          <w:sz w:val="22"/>
          <w:bdr w:val="nil"/>
          <w:lang w:val="en-GB" w:eastAsia="en-GB"/>
        </w:rPr>
        <w:t xml:space="preserve">has awarded </w:t>
      </w:r>
      <w:r w:rsidR="00C951AC" w:rsidRPr="000D46CC">
        <w:rPr>
          <w:rFonts w:eastAsia="LindeDaxOffice" w:cs="LindeDaxOffice"/>
          <w:color w:val="000000"/>
          <w:sz w:val="22"/>
          <w:bdr w:val="nil"/>
          <w:lang w:val="en-GB" w:eastAsia="en-GB"/>
        </w:rPr>
        <w:t>The Linde Group</w:t>
      </w:r>
      <w:r w:rsidR="00C951AC">
        <w:rPr>
          <w:rFonts w:eastAsia="LindeDaxOffice" w:cs="LindeDaxOffice"/>
          <w:color w:val="000000"/>
          <w:sz w:val="22"/>
          <w:bdr w:val="nil"/>
          <w:lang w:val="en-GB" w:eastAsia="en-GB"/>
        </w:rPr>
        <w:t>’s</w:t>
      </w:r>
      <w:r w:rsidR="00C951AC" w:rsidRPr="000D46CC">
        <w:rPr>
          <w:rFonts w:eastAsia="LindeDaxOffice" w:cs="LindeDaxOffice"/>
          <w:color w:val="000000"/>
          <w:sz w:val="22"/>
          <w:bdr w:val="nil"/>
          <w:lang w:val="en-GB" w:eastAsia="en-GB"/>
        </w:rPr>
        <w:t xml:space="preserve"> </w:t>
      </w:r>
      <w:r w:rsidRPr="000D46CC">
        <w:rPr>
          <w:rFonts w:eastAsia="LindeDaxOffice" w:cs="LindeDaxOffice"/>
          <w:color w:val="000000"/>
          <w:sz w:val="22"/>
          <w:bdr w:val="nil"/>
          <w:lang w:val="en-GB" w:eastAsia="en-GB"/>
        </w:rPr>
        <w:t xml:space="preserve">Engineering Division a Professional Services </w:t>
      </w:r>
      <w:r w:rsidR="00AF0601">
        <w:rPr>
          <w:rFonts w:eastAsia="LindeDaxOffice" w:cs="LindeDaxOffice"/>
          <w:color w:val="000000"/>
          <w:sz w:val="22"/>
          <w:bdr w:val="nil"/>
          <w:lang w:val="en-GB" w:eastAsia="en-GB"/>
        </w:rPr>
        <w:t>Term</w:t>
      </w:r>
      <w:r w:rsidR="00AF0601" w:rsidRPr="000D46CC">
        <w:rPr>
          <w:rFonts w:eastAsia="LindeDaxOffice" w:cs="LindeDaxOffice"/>
          <w:color w:val="000000"/>
          <w:sz w:val="22"/>
          <w:bdr w:val="nil"/>
          <w:lang w:val="en-GB" w:eastAsia="en-GB"/>
        </w:rPr>
        <w:t xml:space="preserve"> </w:t>
      </w:r>
      <w:r w:rsidRPr="000D46CC">
        <w:rPr>
          <w:rFonts w:eastAsia="LindeDaxOffice" w:cs="LindeDaxOffice"/>
          <w:color w:val="000000"/>
          <w:sz w:val="22"/>
          <w:bdr w:val="nil"/>
          <w:lang w:val="en-GB" w:eastAsia="en-GB"/>
        </w:rPr>
        <w:t xml:space="preserve">Agreement for an initial term of </w:t>
      </w:r>
      <w:r w:rsidR="0087410B">
        <w:rPr>
          <w:rFonts w:eastAsia="LindeDaxOffice" w:cs="LindeDaxOffice"/>
          <w:color w:val="000000"/>
          <w:sz w:val="22"/>
          <w:bdr w:val="nil"/>
          <w:lang w:val="en-GB" w:eastAsia="en-GB"/>
        </w:rPr>
        <w:t>two</w:t>
      </w:r>
      <w:r w:rsidRPr="000D46CC">
        <w:rPr>
          <w:rFonts w:eastAsia="LindeDaxOffice" w:cs="LindeDaxOffice"/>
          <w:color w:val="000000"/>
          <w:sz w:val="22"/>
          <w:bdr w:val="nil"/>
          <w:lang w:val="en-GB" w:eastAsia="en-GB"/>
        </w:rPr>
        <w:t xml:space="preserve"> years with an option to extend.  </w:t>
      </w:r>
    </w:p>
    <w:p w14:paraId="0B6720F3" w14:textId="77777777" w:rsidR="000D46CC" w:rsidRPr="000D46CC" w:rsidRDefault="000D46CC" w:rsidP="000D46CC">
      <w:pPr>
        <w:spacing w:line="360" w:lineRule="exact"/>
        <w:rPr>
          <w:rFonts w:eastAsia="LindeDaxOffice" w:cs="LindeDaxOffice"/>
          <w:color w:val="000000"/>
          <w:sz w:val="22"/>
          <w:bdr w:val="nil"/>
          <w:lang w:val="en-GB" w:eastAsia="en-GB"/>
        </w:rPr>
      </w:pPr>
    </w:p>
    <w:p w14:paraId="0E67D1D6" w14:textId="06029C2D" w:rsidR="000D46CC" w:rsidRDefault="000D46CC" w:rsidP="000D46CC">
      <w:pPr>
        <w:spacing w:line="360" w:lineRule="exact"/>
        <w:rPr>
          <w:rFonts w:eastAsia="LindeDaxOffice" w:cs="LindeDaxOffice"/>
          <w:color w:val="000000"/>
          <w:sz w:val="22"/>
          <w:bdr w:val="nil"/>
          <w:lang w:val="en-GB" w:eastAsia="en-GB"/>
        </w:rPr>
      </w:pPr>
      <w:r w:rsidRPr="000D46CC">
        <w:rPr>
          <w:rFonts w:eastAsia="LindeDaxOffice" w:cs="LindeDaxOffice"/>
          <w:color w:val="000000"/>
          <w:sz w:val="22"/>
          <w:bdr w:val="nil"/>
          <w:lang w:val="en-GB" w:eastAsia="en-GB"/>
        </w:rPr>
        <w:t xml:space="preserve">This agreement supports a </w:t>
      </w:r>
      <w:r w:rsidR="00B14F72">
        <w:rPr>
          <w:rFonts w:eastAsia="LindeDaxOffice" w:cs="LindeDaxOffice"/>
          <w:color w:val="000000"/>
          <w:sz w:val="22"/>
          <w:bdr w:val="nil"/>
          <w:lang w:val="en-GB" w:eastAsia="en-GB"/>
        </w:rPr>
        <w:t>close working relationship</w:t>
      </w:r>
      <w:r w:rsidRPr="000D46CC">
        <w:rPr>
          <w:rFonts w:eastAsia="LindeDaxOffice" w:cs="LindeDaxOffice"/>
          <w:color w:val="000000"/>
          <w:sz w:val="22"/>
          <w:bdr w:val="nil"/>
          <w:lang w:val="en-GB" w:eastAsia="en-GB"/>
        </w:rPr>
        <w:t xml:space="preserve"> to create and ensure long</w:t>
      </w:r>
      <w:r w:rsidR="003B7DE3">
        <w:rPr>
          <w:rFonts w:eastAsia="LindeDaxOffice" w:cs="LindeDaxOffice"/>
          <w:color w:val="000000"/>
          <w:sz w:val="22"/>
          <w:bdr w:val="nil"/>
          <w:lang w:val="en-GB" w:eastAsia="en-GB"/>
        </w:rPr>
        <w:t>-</w:t>
      </w:r>
      <w:r w:rsidRPr="000D46CC">
        <w:rPr>
          <w:rFonts w:eastAsia="LindeDaxOffice" w:cs="LindeDaxOffice"/>
          <w:color w:val="000000"/>
          <w:sz w:val="22"/>
          <w:bdr w:val="nil"/>
          <w:lang w:val="en-GB" w:eastAsia="en-GB"/>
        </w:rPr>
        <w:t xml:space="preserve">term engineering, procurement, construction </w:t>
      </w:r>
      <w:r w:rsidR="002A488E">
        <w:rPr>
          <w:rFonts w:eastAsia="LindeDaxOffice" w:cs="LindeDaxOffice"/>
          <w:color w:val="000000"/>
          <w:sz w:val="22"/>
          <w:bdr w:val="nil"/>
          <w:lang w:val="en-GB" w:eastAsia="en-GB"/>
        </w:rPr>
        <w:t xml:space="preserve">(EPC) </w:t>
      </w:r>
      <w:r w:rsidRPr="000D46CC">
        <w:rPr>
          <w:rFonts w:eastAsia="LindeDaxOffice" w:cs="LindeDaxOffice"/>
          <w:color w:val="000000"/>
          <w:sz w:val="22"/>
          <w:bdr w:val="nil"/>
          <w:lang w:val="en-GB" w:eastAsia="en-GB"/>
        </w:rPr>
        <w:t xml:space="preserve">and/or construction management and project management services </w:t>
      </w:r>
      <w:r w:rsidR="003B7DE3">
        <w:rPr>
          <w:rFonts w:eastAsia="LindeDaxOffice" w:cs="LindeDaxOffice"/>
          <w:color w:val="000000"/>
          <w:sz w:val="22"/>
          <w:bdr w:val="nil"/>
          <w:lang w:val="en-GB" w:eastAsia="en-GB"/>
        </w:rPr>
        <w:t>to</w:t>
      </w:r>
      <w:r w:rsidRPr="000D46CC">
        <w:rPr>
          <w:rFonts w:eastAsia="LindeDaxOffice" w:cs="LindeDaxOffice"/>
          <w:color w:val="000000"/>
          <w:sz w:val="22"/>
          <w:bdr w:val="nil"/>
          <w:lang w:val="en-GB" w:eastAsia="en-GB"/>
        </w:rPr>
        <w:t xml:space="preserve"> enable Sasol to meet its local growth, sustainability and environmental requirements through the execution of capital projects. </w:t>
      </w:r>
    </w:p>
    <w:p w14:paraId="3FE9C420" w14:textId="77777777" w:rsidR="00B14F72" w:rsidRDefault="00B14F72" w:rsidP="000D46CC">
      <w:pPr>
        <w:spacing w:line="360" w:lineRule="exact"/>
        <w:rPr>
          <w:rFonts w:eastAsia="LindeDaxOffice" w:cs="LindeDaxOffice"/>
          <w:color w:val="000000"/>
          <w:sz w:val="22"/>
          <w:bdr w:val="nil"/>
          <w:lang w:val="en-GB" w:eastAsia="en-GB"/>
        </w:rPr>
      </w:pPr>
    </w:p>
    <w:p w14:paraId="0615E11C" w14:textId="2D1DCCAD" w:rsidR="00F77DFB" w:rsidRPr="000D46CC" w:rsidRDefault="00F77DFB" w:rsidP="00F77DFB">
      <w:pPr>
        <w:spacing w:line="360" w:lineRule="exact"/>
        <w:rPr>
          <w:rFonts w:eastAsia="LindeDaxOffice" w:cs="LindeDaxOffice"/>
          <w:color w:val="000000"/>
          <w:sz w:val="22"/>
          <w:bdr w:val="nil"/>
          <w:lang w:val="en-GB" w:eastAsia="en-GB"/>
        </w:rPr>
      </w:pPr>
      <w:r>
        <w:rPr>
          <w:rFonts w:eastAsia="LindeDaxOffice" w:cs="LindeDaxOffice"/>
          <w:color w:val="000000"/>
          <w:sz w:val="22"/>
          <w:bdr w:val="nil"/>
          <w:lang w:val="en-GB" w:eastAsia="en-GB"/>
        </w:rPr>
        <w:t xml:space="preserve">“The successful </w:t>
      </w:r>
      <w:r w:rsidRPr="000D46CC">
        <w:rPr>
          <w:rFonts w:eastAsia="LindeDaxOffice" w:cs="LindeDaxOffice"/>
          <w:color w:val="000000"/>
          <w:sz w:val="22"/>
          <w:bdr w:val="nil"/>
          <w:lang w:val="en-GB" w:eastAsia="en-GB"/>
        </w:rPr>
        <w:t xml:space="preserve">conclusion of </w:t>
      </w:r>
      <w:r>
        <w:rPr>
          <w:rFonts w:eastAsia="LindeDaxOffice" w:cs="LindeDaxOffice"/>
          <w:color w:val="000000"/>
          <w:sz w:val="22"/>
          <w:bdr w:val="nil"/>
          <w:lang w:val="en-GB" w:eastAsia="en-GB"/>
        </w:rPr>
        <w:t xml:space="preserve">this </w:t>
      </w:r>
      <w:r w:rsidRPr="000D46CC">
        <w:rPr>
          <w:rFonts w:eastAsia="LindeDaxOffice" w:cs="LindeDaxOffice"/>
          <w:color w:val="000000"/>
          <w:sz w:val="22"/>
          <w:bdr w:val="nil"/>
          <w:lang w:val="en-GB" w:eastAsia="en-GB"/>
        </w:rPr>
        <w:t xml:space="preserve">Professional Services Framework Agreement </w:t>
      </w:r>
      <w:r>
        <w:rPr>
          <w:rFonts w:eastAsia="LindeDaxOffice" w:cs="LindeDaxOffice"/>
          <w:color w:val="000000"/>
          <w:sz w:val="22"/>
          <w:bdr w:val="nil"/>
          <w:lang w:val="en-GB" w:eastAsia="en-GB"/>
        </w:rPr>
        <w:t xml:space="preserve">represents another milestone in the </w:t>
      </w:r>
      <w:r w:rsidRPr="000D46CC">
        <w:rPr>
          <w:rFonts w:eastAsia="LindeDaxOffice" w:cs="LindeDaxOffice"/>
          <w:color w:val="000000"/>
          <w:sz w:val="22"/>
          <w:bdr w:val="nil"/>
          <w:lang w:val="en-GB" w:eastAsia="en-GB"/>
        </w:rPr>
        <w:t>long</w:t>
      </w:r>
      <w:r w:rsidR="00491311">
        <w:rPr>
          <w:rFonts w:eastAsia="LindeDaxOffice" w:cs="LindeDaxOffice"/>
          <w:color w:val="000000"/>
          <w:sz w:val="22"/>
          <w:bdr w:val="nil"/>
          <w:lang w:val="en-GB" w:eastAsia="en-GB"/>
        </w:rPr>
        <w:t>-</w:t>
      </w:r>
      <w:r w:rsidRPr="000D46CC">
        <w:rPr>
          <w:rFonts w:eastAsia="LindeDaxOffice" w:cs="LindeDaxOffice"/>
          <w:color w:val="000000"/>
          <w:sz w:val="22"/>
          <w:bdr w:val="nil"/>
          <w:lang w:val="en-GB" w:eastAsia="en-GB"/>
        </w:rPr>
        <w:t xml:space="preserve">lasting and </w:t>
      </w:r>
      <w:r>
        <w:rPr>
          <w:rFonts w:eastAsia="LindeDaxOffice" w:cs="LindeDaxOffice"/>
          <w:color w:val="000000"/>
          <w:sz w:val="22"/>
          <w:bdr w:val="nil"/>
          <w:lang w:val="en-GB" w:eastAsia="en-GB"/>
        </w:rPr>
        <w:t>fruitful</w:t>
      </w:r>
      <w:r w:rsidRPr="000D46CC">
        <w:rPr>
          <w:rFonts w:eastAsia="LindeDaxOffice" w:cs="LindeDaxOffice"/>
          <w:color w:val="000000"/>
          <w:sz w:val="22"/>
          <w:bdr w:val="nil"/>
          <w:lang w:val="en-GB" w:eastAsia="en-GB"/>
        </w:rPr>
        <w:t xml:space="preserve"> </w:t>
      </w:r>
      <w:r>
        <w:rPr>
          <w:rFonts w:eastAsia="LindeDaxOffice" w:cs="LindeDaxOffice"/>
          <w:color w:val="000000"/>
          <w:sz w:val="22"/>
          <w:bdr w:val="nil"/>
          <w:lang w:val="en-GB" w:eastAsia="en-GB"/>
        </w:rPr>
        <w:t xml:space="preserve">business </w:t>
      </w:r>
      <w:r w:rsidRPr="000D46CC">
        <w:rPr>
          <w:rFonts w:eastAsia="LindeDaxOffice" w:cs="LindeDaxOffice"/>
          <w:color w:val="000000"/>
          <w:sz w:val="22"/>
          <w:bdr w:val="nil"/>
          <w:lang w:val="en-GB" w:eastAsia="en-GB"/>
        </w:rPr>
        <w:t>relations</w:t>
      </w:r>
      <w:r>
        <w:rPr>
          <w:rFonts w:eastAsia="LindeDaxOffice" w:cs="LindeDaxOffice"/>
          <w:color w:val="000000"/>
          <w:sz w:val="22"/>
          <w:bdr w:val="nil"/>
          <w:lang w:val="en-GB" w:eastAsia="en-GB"/>
        </w:rPr>
        <w:t>hip between Sasol and Linde,”</w:t>
      </w:r>
      <w:r w:rsidR="0060775F">
        <w:rPr>
          <w:rFonts w:eastAsia="LindeDaxOffice" w:cs="LindeDaxOffice"/>
          <w:color w:val="000000"/>
          <w:sz w:val="22"/>
          <w:bdr w:val="nil"/>
          <w:lang w:val="en-GB" w:eastAsia="en-GB"/>
        </w:rPr>
        <w:t xml:space="preserve"> said Tilman Weide, Member of the Board of Directors at Linde Engineering Division. </w:t>
      </w:r>
      <w:r>
        <w:rPr>
          <w:rFonts w:eastAsia="LindeDaxOffice" w:cs="LindeDaxOffice"/>
          <w:color w:val="000000"/>
          <w:sz w:val="22"/>
          <w:bdr w:val="nil"/>
          <w:lang w:val="en-GB" w:eastAsia="en-GB"/>
        </w:rPr>
        <w:t>“</w:t>
      </w:r>
      <w:r w:rsidRPr="000D46CC">
        <w:rPr>
          <w:rFonts w:eastAsia="LindeDaxOffice" w:cs="LindeDaxOffice"/>
          <w:color w:val="000000"/>
          <w:sz w:val="22"/>
          <w:bdr w:val="nil"/>
          <w:lang w:val="en-GB" w:eastAsia="en-GB"/>
        </w:rPr>
        <w:t xml:space="preserve">This agreement will enable Sasol to expedite the commercial processes preceding the </w:t>
      </w:r>
      <w:r w:rsidR="003B7DE3">
        <w:rPr>
          <w:rFonts w:eastAsia="LindeDaxOffice" w:cs="LindeDaxOffice"/>
          <w:color w:val="000000"/>
          <w:sz w:val="22"/>
          <w:bdr w:val="nil"/>
          <w:lang w:val="en-GB" w:eastAsia="en-GB"/>
        </w:rPr>
        <w:t>initial</w:t>
      </w:r>
      <w:r w:rsidRPr="000D46CC">
        <w:rPr>
          <w:rFonts w:eastAsia="LindeDaxOffice" w:cs="LindeDaxOffice"/>
          <w:color w:val="000000"/>
          <w:sz w:val="22"/>
          <w:bdr w:val="nil"/>
          <w:lang w:val="en-GB" w:eastAsia="en-GB"/>
        </w:rPr>
        <w:t xml:space="preserve"> work </w:t>
      </w:r>
      <w:r w:rsidR="00491311">
        <w:rPr>
          <w:rFonts w:eastAsia="LindeDaxOffice" w:cs="LindeDaxOffice"/>
          <w:color w:val="000000"/>
          <w:sz w:val="22"/>
          <w:bdr w:val="nil"/>
          <w:lang w:val="en-GB" w:eastAsia="en-GB"/>
        </w:rPr>
        <w:t>developing the</w:t>
      </w:r>
      <w:r w:rsidRPr="000D46CC">
        <w:rPr>
          <w:rFonts w:eastAsia="LindeDaxOffice" w:cs="LindeDaxOffice"/>
          <w:color w:val="000000"/>
          <w:sz w:val="22"/>
          <w:bdr w:val="nil"/>
          <w:lang w:val="en-GB" w:eastAsia="en-GB"/>
        </w:rPr>
        <w:t xml:space="preserve"> project scope</w:t>
      </w:r>
      <w:r w:rsidR="00491311">
        <w:rPr>
          <w:rFonts w:eastAsia="LindeDaxOffice" w:cs="LindeDaxOffice"/>
          <w:color w:val="000000"/>
          <w:sz w:val="22"/>
          <w:bdr w:val="nil"/>
          <w:lang w:val="en-GB" w:eastAsia="en-GB"/>
        </w:rPr>
        <w:t xml:space="preserve">. In addition, it will allow </w:t>
      </w:r>
      <w:r w:rsidR="003B7DE3">
        <w:rPr>
          <w:rFonts w:eastAsia="LindeDaxOffice" w:cs="LindeDaxOffice"/>
          <w:color w:val="000000"/>
          <w:sz w:val="22"/>
          <w:bdr w:val="nil"/>
          <w:lang w:val="en-GB" w:eastAsia="en-GB"/>
        </w:rPr>
        <w:t>Sasol</w:t>
      </w:r>
      <w:r w:rsidRPr="000D46CC">
        <w:rPr>
          <w:rFonts w:eastAsia="LindeDaxOffice" w:cs="LindeDaxOffice"/>
          <w:color w:val="000000"/>
          <w:sz w:val="22"/>
          <w:bdr w:val="nil"/>
          <w:lang w:val="en-GB" w:eastAsia="en-GB"/>
        </w:rPr>
        <w:t xml:space="preserve"> to </w:t>
      </w:r>
      <w:r w:rsidR="003323AE">
        <w:rPr>
          <w:rFonts w:eastAsia="LindeDaxOffice" w:cs="LindeDaxOffice"/>
          <w:color w:val="000000"/>
          <w:sz w:val="22"/>
          <w:bdr w:val="nil"/>
          <w:lang w:val="en-GB" w:eastAsia="en-GB"/>
        </w:rPr>
        <w:t>take advantage of</w:t>
      </w:r>
      <w:r w:rsidRPr="000D46CC">
        <w:rPr>
          <w:rFonts w:eastAsia="LindeDaxOffice" w:cs="LindeDaxOffice"/>
          <w:color w:val="000000"/>
          <w:sz w:val="22"/>
          <w:bdr w:val="nil"/>
          <w:lang w:val="en-GB" w:eastAsia="en-GB"/>
        </w:rPr>
        <w:t xml:space="preserve"> synergies offered by </w:t>
      </w:r>
      <w:r w:rsidR="00E55CCC">
        <w:rPr>
          <w:rFonts w:eastAsia="LindeDaxOffice" w:cs="LindeDaxOffice"/>
          <w:color w:val="000000"/>
          <w:sz w:val="22"/>
          <w:bdr w:val="nil"/>
          <w:lang w:val="en-GB" w:eastAsia="en-GB"/>
        </w:rPr>
        <w:t>us</w:t>
      </w:r>
      <w:r w:rsidRPr="000D46CC">
        <w:rPr>
          <w:rFonts w:eastAsia="LindeDaxOffice" w:cs="LindeDaxOffice"/>
          <w:color w:val="000000"/>
          <w:sz w:val="22"/>
          <w:bdr w:val="nil"/>
          <w:lang w:val="en-GB" w:eastAsia="en-GB"/>
        </w:rPr>
        <w:t xml:space="preserve"> and gain </w:t>
      </w:r>
      <w:r w:rsidR="003323AE">
        <w:rPr>
          <w:rFonts w:eastAsia="LindeDaxOffice" w:cs="LindeDaxOffice"/>
          <w:color w:val="000000"/>
          <w:sz w:val="22"/>
          <w:bdr w:val="nil"/>
          <w:lang w:val="en-GB" w:eastAsia="en-GB"/>
        </w:rPr>
        <w:t xml:space="preserve">streamlined </w:t>
      </w:r>
      <w:r>
        <w:rPr>
          <w:rFonts w:eastAsia="LindeDaxOffice" w:cs="LindeDaxOffice"/>
          <w:color w:val="000000"/>
          <w:sz w:val="22"/>
          <w:bdr w:val="nil"/>
          <w:lang w:val="en-GB" w:eastAsia="en-GB"/>
        </w:rPr>
        <w:t>access to our resources</w:t>
      </w:r>
      <w:r w:rsidR="00E167F0">
        <w:rPr>
          <w:rFonts w:eastAsia="LindeDaxOffice" w:cs="LindeDaxOffice"/>
          <w:color w:val="000000"/>
          <w:sz w:val="22"/>
          <w:bdr w:val="nil"/>
          <w:lang w:val="en-GB" w:eastAsia="en-GB"/>
        </w:rPr>
        <w:t xml:space="preserve"> </w:t>
      </w:r>
      <w:r w:rsidR="00E167F0" w:rsidRPr="003A7826">
        <w:rPr>
          <w:rFonts w:eastAsia="LindeDaxOffice" w:cs="LindeDaxOffice"/>
          <w:color w:val="000000"/>
          <w:sz w:val="22"/>
          <w:bdr w:val="nil"/>
          <w:lang w:val="en-GB" w:eastAsia="en-GB"/>
        </w:rPr>
        <w:t>and technologies</w:t>
      </w:r>
      <w:r>
        <w:rPr>
          <w:rFonts w:eastAsia="LindeDaxOffice" w:cs="LindeDaxOffice"/>
          <w:color w:val="000000"/>
          <w:sz w:val="22"/>
          <w:bdr w:val="nil"/>
          <w:lang w:val="en-GB" w:eastAsia="en-GB"/>
        </w:rPr>
        <w:t>.”</w:t>
      </w:r>
    </w:p>
    <w:p w14:paraId="1069AEB7" w14:textId="77777777" w:rsidR="00B14F72" w:rsidRPr="000D46CC" w:rsidRDefault="00B14F72" w:rsidP="000D46CC">
      <w:pPr>
        <w:spacing w:line="360" w:lineRule="exact"/>
        <w:rPr>
          <w:rFonts w:eastAsia="LindeDaxOffice" w:cs="LindeDaxOffice"/>
          <w:color w:val="000000"/>
          <w:sz w:val="22"/>
          <w:bdr w:val="nil"/>
          <w:lang w:val="en-GB" w:eastAsia="en-GB"/>
        </w:rPr>
      </w:pPr>
    </w:p>
    <w:p w14:paraId="41605728" w14:textId="77777777" w:rsidR="000D46CC" w:rsidRPr="000D46CC" w:rsidRDefault="000D46CC" w:rsidP="000D46CC">
      <w:pPr>
        <w:spacing w:line="360" w:lineRule="exact"/>
        <w:rPr>
          <w:rFonts w:eastAsia="LindeDaxOffice" w:cs="LindeDaxOffice"/>
          <w:color w:val="000000"/>
          <w:sz w:val="22"/>
          <w:bdr w:val="nil"/>
          <w:lang w:val="en-GB" w:eastAsia="en-GB"/>
        </w:rPr>
      </w:pPr>
      <w:r w:rsidRPr="000D46CC">
        <w:rPr>
          <w:rFonts w:eastAsia="LindeDaxOffice" w:cs="LindeDaxOffice"/>
          <w:color w:val="000000"/>
          <w:sz w:val="22"/>
          <w:bdr w:val="nil"/>
          <w:lang w:val="en-GB" w:eastAsia="en-GB"/>
        </w:rPr>
        <w:t xml:space="preserve">Through this agreement Linde </w:t>
      </w:r>
      <w:r w:rsidR="003B7DE3">
        <w:rPr>
          <w:rFonts w:eastAsia="LindeDaxOffice" w:cs="LindeDaxOffice"/>
          <w:color w:val="000000"/>
          <w:sz w:val="22"/>
          <w:bdr w:val="nil"/>
          <w:lang w:val="en-GB" w:eastAsia="en-GB"/>
        </w:rPr>
        <w:t>can</w:t>
      </w:r>
      <w:r w:rsidR="003B7DE3" w:rsidRPr="000D46CC">
        <w:rPr>
          <w:rFonts w:eastAsia="LindeDaxOffice" w:cs="LindeDaxOffice"/>
          <w:color w:val="000000"/>
          <w:sz w:val="22"/>
          <w:bdr w:val="nil"/>
          <w:lang w:val="en-GB" w:eastAsia="en-GB"/>
        </w:rPr>
        <w:t xml:space="preserve"> </w:t>
      </w:r>
      <w:r w:rsidRPr="000D46CC">
        <w:rPr>
          <w:rFonts w:eastAsia="LindeDaxOffice" w:cs="LindeDaxOffice"/>
          <w:color w:val="000000"/>
          <w:sz w:val="22"/>
          <w:bdr w:val="nil"/>
          <w:lang w:val="en-GB" w:eastAsia="en-GB"/>
        </w:rPr>
        <w:t xml:space="preserve">be </w:t>
      </w:r>
      <w:r w:rsidR="00491311">
        <w:rPr>
          <w:rFonts w:eastAsia="LindeDaxOffice" w:cs="LindeDaxOffice"/>
          <w:color w:val="000000"/>
          <w:sz w:val="22"/>
          <w:bdr w:val="nil"/>
          <w:lang w:val="en-GB" w:eastAsia="en-GB"/>
        </w:rPr>
        <w:t xml:space="preserve">involved right from the start during the </w:t>
      </w:r>
      <w:r w:rsidR="00B067AD">
        <w:rPr>
          <w:rFonts w:eastAsia="LindeDaxOffice" w:cs="LindeDaxOffice"/>
          <w:color w:val="000000"/>
          <w:sz w:val="22"/>
          <w:bdr w:val="nil"/>
          <w:lang w:val="en-GB" w:eastAsia="en-GB"/>
        </w:rPr>
        <w:t>feasibility phase of a project</w:t>
      </w:r>
      <w:r w:rsidR="00491311">
        <w:rPr>
          <w:rFonts w:eastAsia="LindeDaxOffice" w:cs="LindeDaxOffice"/>
          <w:color w:val="000000"/>
          <w:sz w:val="22"/>
          <w:bdr w:val="nil"/>
          <w:lang w:val="en-GB" w:eastAsia="en-GB"/>
        </w:rPr>
        <w:t xml:space="preserve">. </w:t>
      </w:r>
      <w:r w:rsidR="003323AE">
        <w:rPr>
          <w:rFonts w:eastAsia="LindeDaxOffice" w:cs="LindeDaxOffice"/>
          <w:color w:val="000000"/>
          <w:sz w:val="22"/>
          <w:bdr w:val="nil"/>
          <w:lang w:val="en-GB" w:eastAsia="en-GB"/>
        </w:rPr>
        <w:t>It provides for the leveraging of</w:t>
      </w:r>
      <w:r w:rsidR="00491311">
        <w:rPr>
          <w:rFonts w:eastAsia="LindeDaxOffice" w:cs="LindeDaxOffice"/>
          <w:color w:val="000000"/>
          <w:sz w:val="22"/>
          <w:bdr w:val="nil"/>
          <w:lang w:val="en-GB" w:eastAsia="en-GB"/>
        </w:rPr>
        <w:t xml:space="preserve"> Linde’s planning expertise </w:t>
      </w:r>
      <w:r w:rsidRPr="000D46CC">
        <w:rPr>
          <w:rFonts w:eastAsia="LindeDaxOffice" w:cs="LindeDaxOffice"/>
          <w:color w:val="000000"/>
          <w:sz w:val="22"/>
          <w:bdr w:val="nil"/>
          <w:lang w:val="en-GB" w:eastAsia="en-GB"/>
        </w:rPr>
        <w:t xml:space="preserve">to </w:t>
      </w:r>
      <w:r w:rsidR="00B067AD">
        <w:rPr>
          <w:rFonts w:eastAsia="LindeDaxOffice" w:cs="LindeDaxOffice"/>
          <w:color w:val="000000"/>
          <w:sz w:val="22"/>
          <w:bdr w:val="nil"/>
          <w:lang w:val="en-GB" w:eastAsia="en-GB"/>
        </w:rPr>
        <w:t>improve continuity and</w:t>
      </w:r>
      <w:r w:rsidRPr="000D46CC">
        <w:rPr>
          <w:rFonts w:eastAsia="LindeDaxOffice" w:cs="LindeDaxOffice"/>
          <w:color w:val="000000"/>
          <w:sz w:val="22"/>
          <w:bdr w:val="nil"/>
          <w:lang w:val="en-GB" w:eastAsia="en-GB"/>
        </w:rPr>
        <w:t xml:space="preserve"> </w:t>
      </w:r>
      <w:r w:rsidR="00C5073F">
        <w:rPr>
          <w:rFonts w:eastAsia="LindeDaxOffice" w:cs="LindeDaxOffice"/>
          <w:color w:val="000000"/>
          <w:sz w:val="22"/>
          <w:bdr w:val="nil"/>
          <w:lang w:val="en-GB" w:eastAsia="en-GB"/>
        </w:rPr>
        <w:t>e</w:t>
      </w:r>
      <w:r w:rsidR="00B067AD">
        <w:rPr>
          <w:rFonts w:eastAsia="LindeDaxOffice" w:cs="LindeDaxOffice"/>
          <w:color w:val="000000"/>
          <w:sz w:val="22"/>
          <w:bdr w:val="nil"/>
          <w:lang w:val="en-GB" w:eastAsia="en-GB"/>
        </w:rPr>
        <w:t>nhance</w:t>
      </w:r>
      <w:r w:rsidRPr="000D46CC">
        <w:rPr>
          <w:rFonts w:eastAsia="LindeDaxOffice" w:cs="LindeDaxOffice"/>
          <w:color w:val="000000"/>
          <w:sz w:val="22"/>
          <w:bdr w:val="nil"/>
          <w:lang w:val="en-GB" w:eastAsia="en-GB"/>
        </w:rPr>
        <w:t xml:space="preserve"> efficiency across the value chain</w:t>
      </w:r>
      <w:r w:rsidR="00491311">
        <w:rPr>
          <w:rFonts w:eastAsia="LindeDaxOffice" w:cs="LindeDaxOffice"/>
          <w:color w:val="000000"/>
          <w:sz w:val="22"/>
          <w:bdr w:val="nil"/>
          <w:lang w:val="en-GB" w:eastAsia="en-GB"/>
        </w:rPr>
        <w:t>, ensuring</w:t>
      </w:r>
      <w:r w:rsidRPr="000D46CC">
        <w:rPr>
          <w:rFonts w:eastAsia="LindeDaxOffice" w:cs="LindeDaxOffice"/>
          <w:color w:val="000000"/>
          <w:sz w:val="22"/>
          <w:bdr w:val="nil"/>
          <w:lang w:val="en-GB" w:eastAsia="en-GB"/>
        </w:rPr>
        <w:t xml:space="preserve"> effective resource planning and management </w:t>
      </w:r>
      <w:r w:rsidR="00491311">
        <w:rPr>
          <w:rFonts w:eastAsia="LindeDaxOffice" w:cs="LindeDaxOffice"/>
          <w:color w:val="000000"/>
          <w:sz w:val="22"/>
          <w:bdr w:val="nil"/>
          <w:lang w:val="en-GB" w:eastAsia="en-GB"/>
        </w:rPr>
        <w:t xml:space="preserve">from the </w:t>
      </w:r>
      <w:r w:rsidR="003B7DE3">
        <w:rPr>
          <w:rFonts w:eastAsia="LindeDaxOffice" w:cs="LindeDaxOffice"/>
          <w:color w:val="000000"/>
          <w:sz w:val="22"/>
          <w:bdr w:val="nil"/>
          <w:lang w:val="en-GB" w:eastAsia="en-GB"/>
        </w:rPr>
        <w:t xml:space="preserve">earliest </w:t>
      </w:r>
      <w:r w:rsidR="00491311">
        <w:rPr>
          <w:rFonts w:eastAsia="LindeDaxOffice" w:cs="LindeDaxOffice"/>
          <w:color w:val="000000"/>
          <w:sz w:val="22"/>
          <w:bdr w:val="nil"/>
          <w:lang w:val="en-GB" w:eastAsia="en-GB"/>
        </w:rPr>
        <w:t>project stages</w:t>
      </w:r>
      <w:r w:rsidRPr="000D46CC">
        <w:rPr>
          <w:rFonts w:eastAsia="LindeDaxOffice" w:cs="LindeDaxOffice"/>
          <w:color w:val="000000"/>
          <w:sz w:val="22"/>
          <w:bdr w:val="nil"/>
          <w:lang w:val="en-GB" w:eastAsia="en-GB"/>
        </w:rPr>
        <w:t>.</w:t>
      </w:r>
    </w:p>
    <w:p w14:paraId="27FC679C" w14:textId="77777777" w:rsidR="000D46CC" w:rsidRPr="000D46CC" w:rsidRDefault="000D46CC" w:rsidP="000D46CC">
      <w:pPr>
        <w:spacing w:line="360" w:lineRule="exact"/>
        <w:rPr>
          <w:rFonts w:eastAsia="LindeDaxOffice" w:cs="LindeDaxOffice"/>
          <w:color w:val="000000"/>
          <w:sz w:val="22"/>
          <w:bdr w:val="nil"/>
          <w:lang w:val="en-GB" w:eastAsia="en-GB"/>
        </w:rPr>
      </w:pPr>
    </w:p>
    <w:p w14:paraId="191F897E" w14:textId="2D2E2252" w:rsidR="000D46CC" w:rsidRPr="000D46CC" w:rsidRDefault="000D46CC" w:rsidP="000D46CC">
      <w:pPr>
        <w:spacing w:line="360" w:lineRule="exact"/>
        <w:rPr>
          <w:rFonts w:eastAsia="LindeDaxOffice" w:cs="LindeDaxOffice"/>
          <w:color w:val="000000"/>
          <w:sz w:val="22"/>
          <w:bdr w:val="nil"/>
          <w:lang w:val="en-GB" w:eastAsia="en-GB"/>
        </w:rPr>
      </w:pPr>
      <w:r w:rsidRPr="000D46CC">
        <w:rPr>
          <w:rFonts w:eastAsia="LindeDaxOffice" w:cs="LindeDaxOffice"/>
          <w:color w:val="000000"/>
          <w:sz w:val="22"/>
          <w:bdr w:val="nil"/>
          <w:lang w:val="en-GB" w:eastAsia="en-GB"/>
        </w:rPr>
        <w:t xml:space="preserve">Since the </w:t>
      </w:r>
      <w:r w:rsidR="003323AE">
        <w:rPr>
          <w:rFonts w:eastAsia="LindeDaxOffice" w:cs="LindeDaxOffice"/>
          <w:color w:val="000000"/>
          <w:sz w:val="22"/>
          <w:bdr w:val="nil"/>
          <w:lang w:val="en-GB" w:eastAsia="en-GB"/>
        </w:rPr>
        <w:t>founding</w:t>
      </w:r>
      <w:r w:rsidR="003323AE" w:rsidRPr="000D46CC">
        <w:rPr>
          <w:rFonts w:eastAsia="LindeDaxOffice" w:cs="LindeDaxOffice"/>
          <w:color w:val="000000"/>
          <w:sz w:val="22"/>
          <w:bdr w:val="nil"/>
          <w:lang w:val="en-GB" w:eastAsia="en-GB"/>
        </w:rPr>
        <w:t xml:space="preserve"> </w:t>
      </w:r>
      <w:r w:rsidRPr="000D46CC">
        <w:rPr>
          <w:rFonts w:eastAsia="LindeDaxOffice" w:cs="LindeDaxOffice"/>
          <w:color w:val="000000"/>
          <w:sz w:val="22"/>
          <w:bdr w:val="nil"/>
          <w:lang w:val="en-GB" w:eastAsia="en-GB"/>
        </w:rPr>
        <w:t>of Sasol</w:t>
      </w:r>
      <w:r w:rsidR="0060775F">
        <w:rPr>
          <w:rFonts w:eastAsia="LindeDaxOffice" w:cs="LindeDaxOffice"/>
          <w:color w:val="000000"/>
          <w:sz w:val="22"/>
          <w:bdr w:val="nil"/>
          <w:lang w:val="en-GB" w:eastAsia="en-GB"/>
        </w:rPr>
        <w:t xml:space="preserve"> in 1950</w:t>
      </w:r>
      <w:r w:rsidRPr="000D46CC">
        <w:rPr>
          <w:rFonts w:eastAsia="LindeDaxOffice" w:cs="LindeDaxOffice"/>
          <w:color w:val="000000"/>
          <w:sz w:val="22"/>
          <w:bdr w:val="nil"/>
          <w:lang w:val="en-GB" w:eastAsia="en-GB"/>
        </w:rPr>
        <w:t xml:space="preserve">, Linde's Engineering Division has cooperated with the company on a continuous basis, supporting Sasol’s </w:t>
      </w:r>
      <w:r w:rsidR="00CB3007">
        <w:rPr>
          <w:rFonts w:eastAsia="LindeDaxOffice" w:cs="LindeDaxOffice"/>
          <w:color w:val="000000"/>
          <w:sz w:val="22"/>
          <w:bdr w:val="nil"/>
          <w:lang w:val="en-GB" w:eastAsia="en-GB"/>
        </w:rPr>
        <w:t>Research and Technology (</w:t>
      </w:r>
      <w:r w:rsidRPr="000D46CC">
        <w:rPr>
          <w:rFonts w:eastAsia="LindeDaxOffice" w:cs="LindeDaxOffice"/>
          <w:color w:val="000000"/>
          <w:sz w:val="22"/>
          <w:bdr w:val="nil"/>
          <w:lang w:val="en-GB" w:eastAsia="en-GB"/>
        </w:rPr>
        <w:t>R&amp;</w:t>
      </w:r>
      <w:r w:rsidR="00CB3007">
        <w:rPr>
          <w:rFonts w:eastAsia="LindeDaxOffice" w:cs="LindeDaxOffice"/>
          <w:color w:val="000000"/>
          <w:sz w:val="22"/>
          <w:bdr w:val="nil"/>
          <w:lang w:val="en-GB" w:eastAsia="en-GB"/>
        </w:rPr>
        <w:t>T)</w:t>
      </w:r>
      <w:r w:rsidRPr="000D46CC">
        <w:rPr>
          <w:rFonts w:eastAsia="LindeDaxOffice" w:cs="LindeDaxOffice"/>
          <w:color w:val="000000"/>
          <w:sz w:val="22"/>
          <w:bdr w:val="nil"/>
          <w:lang w:val="en-GB" w:eastAsia="en-GB"/>
        </w:rPr>
        <w:t xml:space="preserve"> initiatives and providing engineering, procurement and construction services for jointly developed and Linde proprietary technologies. To date Linde has been awarded over </w:t>
      </w:r>
      <w:r w:rsidR="003B7DE3">
        <w:rPr>
          <w:rFonts w:eastAsia="LindeDaxOffice" w:cs="LindeDaxOffice"/>
          <w:color w:val="000000"/>
          <w:sz w:val="22"/>
          <w:bdr w:val="nil"/>
          <w:lang w:val="en-GB" w:eastAsia="en-GB"/>
        </w:rPr>
        <w:t xml:space="preserve">a </w:t>
      </w:r>
      <w:r w:rsidR="00B067AD">
        <w:rPr>
          <w:rFonts w:eastAsia="LindeDaxOffice" w:cs="LindeDaxOffice"/>
          <w:color w:val="000000"/>
          <w:sz w:val="22"/>
          <w:bdr w:val="nil"/>
          <w:lang w:val="en-GB" w:eastAsia="en-GB"/>
        </w:rPr>
        <w:t>hundred</w:t>
      </w:r>
      <w:r w:rsidRPr="000D46CC">
        <w:rPr>
          <w:rFonts w:eastAsia="LindeDaxOffice" w:cs="LindeDaxOffice"/>
          <w:color w:val="000000"/>
          <w:sz w:val="22"/>
          <w:bdr w:val="nil"/>
          <w:lang w:val="en-GB" w:eastAsia="en-GB"/>
        </w:rPr>
        <w:t xml:space="preserve"> Sasol contracts ranging from conceptual engineering work to </w:t>
      </w:r>
      <w:r w:rsidR="003B7DE3">
        <w:rPr>
          <w:rFonts w:eastAsia="LindeDaxOffice" w:cs="LindeDaxOffice"/>
          <w:color w:val="000000"/>
          <w:sz w:val="22"/>
          <w:bdr w:val="nil"/>
          <w:lang w:val="en-GB" w:eastAsia="en-GB"/>
        </w:rPr>
        <w:t xml:space="preserve">the </w:t>
      </w:r>
      <w:r w:rsidRPr="000D46CC">
        <w:rPr>
          <w:rFonts w:eastAsia="LindeDaxOffice" w:cs="LindeDaxOffice"/>
          <w:color w:val="000000"/>
          <w:sz w:val="22"/>
          <w:bdr w:val="nil"/>
          <w:lang w:val="en-GB" w:eastAsia="en-GB"/>
        </w:rPr>
        <w:t xml:space="preserve">complete supply of </w:t>
      </w:r>
      <w:r w:rsidRPr="000D46CC">
        <w:rPr>
          <w:rFonts w:eastAsia="LindeDaxOffice" w:cs="LindeDaxOffice"/>
          <w:color w:val="000000"/>
          <w:sz w:val="22"/>
          <w:bdr w:val="nil"/>
          <w:lang w:val="en-GB" w:eastAsia="en-GB"/>
        </w:rPr>
        <w:lastRenderedPageBreak/>
        <w:t xml:space="preserve">plants on a </w:t>
      </w:r>
      <w:r w:rsidR="003323AE">
        <w:rPr>
          <w:rFonts w:eastAsia="LindeDaxOffice" w:cs="LindeDaxOffice"/>
          <w:color w:val="000000"/>
          <w:sz w:val="22"/>
          <w:bdr w:val="nil"/>
          <w:lang w:val="en-GB" w:eastAsia="en-GB"/>
        </w:rPr>
        <w:t>l</w:t>
      </w:r>
      <w:r w:rsidRPr="000D46CC">
        <w:rPr>
          <w:rFonts w:eastAsia="LindeDaxOffice" w:cs="LindeDaxOffice"/>
          <w:color w:val="000000"/>
          <w:sz w:val="22"/>
          <w:bdr w:val="nil"/>
          <w:lang w:val="en-GB" w:eastAsia="en-GB"/>
        </w:rPr>
        <w:t xml:space="preserve">ump </w:t>
      </w:r>
      <w:r w:rsidR="003323AE">
        <w:rPr>
          <w:rFonts w:eastAsia="LindeDaxOffice" w:cs="LindeDaxOffice"/>
          <w:color w:val="000000"/>
          <w:sz w:val="22"/>
          <w:bdr w:val="nil"/>
          <w:lang w:val="en-GB" w:eastAsia="en-GB"/>
        </w:rPr>
        <w:t>s</w:t>
      </w:r>
      <w:r w:rsidRPr="000D46CC">
        <w:rPr>
          <w:rFonts w:eastAsia="LindeDaxOffice" w:cs="LindeDaxOffice"/>
          <w:color w:val="000000"/>
          <w:sz w:val="22"/>
          <w:bdr w:val="nil"/>
          <w:lang w:val="en-GB" w:eastAsia="en-GB"/>
        </w:rPr>
        <w:t xml:space="preserve">um </w:t>
      </w:r>
      <w:r w:rsidR="003323AE">
        <w:rPr>
          <w:rFonts w:eastAsia="LindeDaxOffice" w:cs="LindeDaxOffice"/>
          <w:color w:val="000000"/>
          <w:sz w:val="22"/>
          <w:bdr w:val="nil"/>
          <w:lang w:val="en-GB" w:eastAsia="en-GB"/>
        </w:rPr>
        <w:t>t</w:t>
      </w:r>
      <w:r w:rsidRPr="000D46CC">
        <w:rPr>
          <w:rFonts w:eastAsia="LindeDaxOffice" w:cs="LindeDaxOffice"/>
          <w:color w:val="000000"/>
          <w:sz w:val="22"/>
          <w:bdr w:val="nil"/>
          <w:lang w:val="en-GB" w:eastAsia="en-GB"/>
        </w:rPr>
        <w:t xml:space="preserve">urnkey basis. </w:t>
      </w:r>
    </w:p>
    <w:p w14:paraId="69EA54A1" w14:textId="77777777" w:rsidR="000D46CC" w:rsidRPr="000D46CC" w:rsidRDefault="0087410B" w:rsidP="000D46CC">
      <w:pPr>
        <w:spacing w:line="360" w:lineRule="exact"/>
        <w:rPr>
          <w:rFonts w:eastAsia="LindeDaxOffice" w:cs="LindeDaxOffice"/>
          <w:color w:val="000000"/>
          <w:sz w:val="22"/>
          <w:bdr w:val="nil"/>
          <w:lang w:val="en-GB" w:eastAsia="en-GB"/>
        </w:rPr>
      </w:pPr>
      <w:r>
        <w:rPr>
          <w:rFonts w:eastAsia="LindeDaxOffice" w:cs="LindeDaxOffice"/>
          <w:color w:val="000000"/>
          <w:sz w:val="22"/>
          <w:bdr w:val="nil"/>
          <w:lang w:val="en-GB" w:eastAsia="en-GB"/>
        </w:rPr>
        <w:t xml:space="preserve"> </w:t>
      </w:r>
    </w:p>
    <w:p w14:paraId="5DBD849F" w14:textId="77777777" w:rsidR="005D1607" w:rsidRPr="000D46CC" w:rsidRDefault="005D1607" w:rsidP="000D46CC">
      <w:pPr>
        <w:spacing w:line="360" w:lineRule="exact"/>
        <w:rPr>
          <w:rFonts w:eastAsia="LindeDaxOffice" w:cs="LindeDaxOffice"/>
          <w:color w:val="000000"/>
          <w:sz w:val="22"/>
          <w:bdr w:val="nil"/>
          <w:lang w:val="en-GB" w:eastAsia="en-GB"/>
        </w:rPr>
      </w:pPr>
      <w:r w:rsidRPr="005D1607">
        <w:rPr>
          <w:rFonts w:eastAsia="LindeDaxOffice" w:cs="LindeDaxOffice"/>
          <w:color w:val="000000"/>
          <w:sz w:val="22"/>
          <w:bdr w:val="nil"/>
          <w:lang w:val="en-GB" w:eastAsia="en-GB"/>
        </w:rPr>
        <w:t xml:space="preserve">Sasol is an international integrated chemicals and energy company </w:t>
      </w:r>
      <w:r w:rsidR="00547719">
        <w:rPr>
          <w:rFonts w:eastAsia="LindeDaxOffice" w:cs="LindeDaxOffice"/>
          <w:color w:val="000000"/>
          <w:sz w:val="22"/>
          <w:bdr w:val="nil"/>
          <w:lang w:val="en-GB" w:eastAsia="en-GB"/>
        </w:rPr>
        <w:t xml:space="preserve">based in South Africa </w:t>
      </w:r>
      <w:r w:rsidRPr="005D1607">
        <w:rPr>
          <w:rFonts w:eastAsia="LindeDaxOffice" w:cs="LindeDaxOffice"/>
          <w:color w:val="000000"/>
          <w:sz w:val="22"/>
          <w:bdr w:val="nil"/>
          <w:lang w:val="en-GB" w:eastAsia="en-GB"/>
        </w:rPr>
        <w:t>that develop</w:t>
      </w:r>
      <w:r w:rsidR="00547719">
        <w:rPr>
          <w:rFonts w:eastAsia="LindeDaxOffice" w:cs="LindeDaxOffice"/>
          <w:color w:val="000000"/>
          <w:sz w:val="22"/>
          <w:bdr w:val="nil"/>
          <w:lang w:val="en-GB" w:eastAsia="en-GB"/>
        </w:rPr>
        <w:t>s</w:t>
      </w:r>
      <w:r w:rsidRPr="005D1607">
        <w:rPr>
          <w:rFonts w:eastAsia="LindeDaxOffice" w:cs="LindeDaxOffice"/>
          <w:color w:val="000000"/>
          <w:sz w:val="22"/>
          <w:bdr w:val="nil"/>
          <w:lang w:val="en-GB" w:eastAsia="en-GB"/>
        </w:rPr>
        <w:t xml:space="preserve"> and commercialise</w:t>
      </w:r>
      <w:r w:rsidR="00547719">
        <w:rPr>
          <w:rFonts w:eastAsia="LindeDaxOffice" w:cs="LindeDaxOffice"/>
          <w:color w:val="000000"/>
          <w:sz w:val="22"/>
          <w:bdr w:val="nil"/>
          <w:lang w:val="en-GB" w:eastAsia="en-GB"/>
        </w:rPr>
        <w:t>s</w:t>
      </w:r>
      <w:r w:rsidRPr="005D1607">
        <w:rPr>
          <w:rFonts w:eastAsia="LindeDaxOffice" w:cs="LindeDaxOffice"/>
          <w:color w:val="000000"/>
          <w:sz w:val="22"/>
          <w:bdr w:val="nil"/>
          <w:lang w:val="en-GB" w:eastAsia="en-GB"/>
        </w:rPr>
        <w:t xml:space="preserve"> technologies and build</w:t>
      </w:r>
      <w:r w:rsidR="00547719">
        <w:rPr>
          <w:rFonts w:eastAsia="LindeDaxOffice" w:cs="LindeDaxOffice"/>
          <w:color w:val="000000"/>
          <w:sz w:val="22"/>
          <w:bdr w:val="nil"/>
          <w:lang w:val="en-GB" w:eastAsia="en-GB"/>
        </w:rPr>
        <w:t>s</w:t>
      </w:r>
      <w:r w:rsidRPr="005D1607">
        <w:rPr>
          <w:rFonts w:eastAsia="LindeDaxOffice" w:cs="LindeDaxOffice"/>
          <w:color w:val="000000"/>
          <w:sz w:val="22"/>
          <w:bdr w:val="nil"/>
          <w:lang w:val="en-GB" w:eastAsia="en-GB"/>
        </w:rPr>
        <w:t xml:space="preserve"> and operate</w:t>
      </w:r>
      <w:r w:rsidR="00547719">
        <w:rPr>
          <w:rFonts w:eastAsia="LindeDaxOffice" w:cs="LindeDaxOffice"/>
          <w:color w:val="000000"/>
          <w:sz w:val="22"/>
          <w:bdr w:val="nil"/>
          <w:lang w:val="en-GB" w:eastAsia="en-GB"/>
        </w:rPr>
        <w:t>s</w:t>
      </w:r>
      <w:r w:rsidRPr="005D1607">
        <w:rPr>
          <w:rFonts w:eastAsia="LindeDaxOffice" w:cs="LindeDaxOffice"/>
          <w:color w:val="000000"/>
          <w:sz w:val="22"/>
          <w:bdr w:val="nil"/>
          <w:lang w:val="en-GB" w:eastAsia="en-GB"/>
        </w:rPr>
        <w:t xml:space="preserve"> world-scale facilities to produce a range of high-value product</w:t>
      </w:r>
      <w:r w:rsidR="003323AE">
        <w:rPr>
          <w:rFonts w:eastAsia="LindeDaxOffice" w:cs="LindeDaxOffice"/>
          <w:color w:val="000000"/>
          <w:sz w:val="22"/>
          <w:bdr w:val="nil"/>
          <w:lang w:val="en-GB" w:eastAsia="en-GB"/>
        </w:rPr>
        <w:t>s</w:t>
      </w:r>
      <w:r w:rsidRPr="005D1607">
        <w:rPr>
          <w:rFonts w:eastAsia="LindeDaxOffice" w:cs="LindeDaxOffice"/>
          <w:color w:val="000000"/>
          <w:sz w:val="22"/>
          <w:bdr w:val="nil"/>
          <w:lang w:val="en-GB" w:eastAsia="en-GB"/>
        </w:rPr>
        <w:t xml:space="preserve"> including liquid fuels, chemicals and low-carbon electricity.</w:t>
      </w:r>
    </w:p>
    <w:p w14:paraId="4A95A353" w14:textId="77777777" w:rsidR="000D46CC" w:rsidRPr="000D46CC" w:rsidRDefault="000D46CC" w:rsidP="000D46CC">
      <w:pPr>
        <w:spacing w:line="360" w:lineRule="exact"/>
        <w:rPr>
          <w:rFonts w:eastAsia="LindeDaxOffice" w:cs="LindeDaxOffice"/>
          <w:color w:val="000000"/>
          <w:sz w:val="22"/>
          <w:bdr w:val="nil"/>
          <w:lang w:val="en-GB" w:eastAsia="en-GB"/>
        </w:rPr>
      </w:pPr>
    </w:p>
    <w:p w14:paraId="69A77FA4" w14:textId="77777777" w:rsidR="00307275" w:rsidRPr="009B4346" w:rsidRDefault="00307275" w:rsidP="00CD2321">
      <w:pPr>
        <w:spacing w:line="360" w:lineRule="exact"/>
        <w:rPr>
          <w:rFonts w:eastAsia="LindeDaxOffice" w:cs="LindeDaxOffice"/>
          <w:b/>
          <w:bCs/>
          <w:sz w:val="20"/>
          <w:szCs w:val="20"/>
          <w:bdr w:val="nil"/>
        </w:rPr>
      </w:pPr>
    </w:p>
    <w:p w14:paraId="59D8A446" w14:textId="77777777" w:rsidR="00CD2321" w:rsidRPr="000D46CC" w:rsidRDefault="00D27709" w:rsidP="00CD2321">
      <w:pPr>
        <w:spacing w:line="360" w:lineRule="exact"/>
        <w:rPr>
          <w:b/>
          <w:sz w:val="20"/>
          <w:szCs w:val="20"/>
        </w:rPr>
      </w:pPr>
      <w:r w:rsidRPr="000D46CC">
        <w:rPr>
          <w:rFonts w:eastAsia="LindeDaxOffice" w:cs="LindeDaxOffice"/>
          <w:b/>
          <w:bCs/>
          <w:sz w:val="20"/>
          <w:szCs w:val="20"/>
          <w:bdr w:val="nil"/>
        </w:rPr>
        <w:t xml:space="preserve">About </w:t>
      </w:r>
      <w:r w:rsidR="000856AC" w:rsidRPr="000D46CC">
        <w:rPr>
          <w:rFonts w:eastAsia="LindeDaxOffice" w:cs="LindeDaxOffice"/>
          <w:b/>
          <w:bCs/>
          <w:sz w:val="20"/>
          <w:szCs w:val="20"/>
          <w:bdr w:val="nil"/>
        </w:rPr>
        <w:t>The Linde Group</w:t>
      </w:r>
    </w:p>
    <w:p w14:paraId="6722E845" w14:textId="77777777" w:rsidR="00AB319E" w:rsidRPr="00131D36" w:rsidRDefault="00AB319E" w:rsidP="00AB319E">
      <w:pPr>
        <w:spacing w:line="360" w:lineRule="exact"/>
        <w:rPr>
          <w:rFonts w:eastAsia="LindeDaxOffice" w:cs="LindeDaxOffice"/>
          <w:color w:val="000000"/>
          <w:sz w:val="20"/>
          <w:szCs w:val="20"/>
          <w:bdr w:val="nil"/>
        </w:rPr>
      </w:pPr>
      <w:r w:rsidRPr="00131D36">
        <w:rPr>
          <w:rFonts w:eastAsia="LindeDaxOffice" w:cs="LindeDaxOffice"/>
          <w:color w:val="000000"/>
          <w:sz w:val="20"/>
          <w:szCs w:val="20"/>
          <w:bdr w:val="nil"/>
        </w:rPr>
        <w:t>In the 2016 financial year, The Linde Group generated revenue of EUR 16.948 bn, making it one of the leading gases and engineering companies in the world, with approximately 60,000 employees working in more than 100 countries worldwide. The strategy of The Linde Group is geared towards long-term profitable growth and focuses on the expansion of its international business, with forward-looking products and services. Linde acts responsibly towards its shareholders, business partners, employees, society and the environment in every one of its business areas, regions and locations across the globe. The company is committed to technologies and products that unite the goals of customer value and sustainable development.</w:t>
      </w:r>
    </w:p>
    <w:p w14:paraId="41358CE9" w14:textId="77777777" w:rsidR="00AB319E" w:rsidRPr="00131D36" w:rsidRDefault="00AB319E" w:rsidP="00AB319E">
      <w:pPr>
        <w:spacing w:line="360" w:lineRule="exact"/>
        <w:rPr>
          <w:rFonts w:eastAsia="LindeDaxOffice" w:cs="LindeDaxOffice"/>
          <w:color w:val="000000"/>
          <w:sz w:val="20"/>
          <w:szCs w:val="20"/>
          <w:bdr w:val="nil"/>
        </w:rPr>
      </w:pPr>
    </w:p>
    <w:p w14:paraId="3E6BAB6C" w14:textId="77777777" w:rsidR="00D27709" w:rsidRDefault="00AB319E" w:rsidP="00CD2321">
      <w:pPr>
        <w:autoSpaceDE w:val="0"/>
        <w:autoSpaceDN w:val="0"/>
        <w:adjustRightInd w:val="0"/>
        <w:spacing w:line="360" w:lineRule="exact"/>
        <w:rPr>
          <w:rFonts w:eastAsia="LindeDaxOffice" w:cs="LindeDaxOffice"/>
          <w:color w:val="000000"/>
          <w:sz w:val="20"/>
          <w:szCs w:val="20"/>
          <w:bdr w:val="nil"/>
        </w:rPr>
      </w:pPr>
      <w:r w:rsidRPr="00131D36">
        <w:rPr>
          <w:rFonts w:eastAsia="LindeDaxOffice" w:cs="LindeDaxOffice"/>
          <w:color w:val="000000"/>
          <w:sz w:val="20"/>
          <w:szCs w:val="20"/>
          <w:bdr w:val="nil"/>
        </w:rPr>
        <w:t xml:space="preserve">For more information, see The Linde Group online at </w:t>
      </w:r>
      <w:hyperlink r:id="rId8" w:history="1">
        <w:r w:rsidR="00D27709" w:rsidRPr="00131D36">
          <w:rPr>
            <w:rStyle w:val="Hyperlink"/>
            <w:rFonts w:eastAsia="LindeDaxOffice" w:cs="LindeDaxOffice"/>
            <w:sz w:val="20"/>
            <w:szCs w:val="20"/>
            <w:bdr w:val="nil"/>
          </w:rPr>
          <w:t>www.linde.com</w:t>
        </w:r>
      </w:hyperlink>
    </w:p>
    <w:p w14:paraId="439C33D6" w14:textId="77777777" w:rsidR="00CD2321" w:rsidRPr="00131D36" w:rsidRDefault="00CD2321" w:rsidP="00CD2321">
      <w:pPr>
        <w:autoSpaceDE w:val="0"/>
        <w:autoSpaceDN w:val="0"/>
        <w:adjustRightInd w:val="0"/>
        <w:spacing w:line="360" w:lineRule="exact"/>
        <w:rPr>
          <w:rFonts w:cs="LindeDaxOffice"/>
          <w:color w:val="000000"/>
          <w:sz w:val="20"/>
          <w:szCs w:val="20"/>
        </w:rPr>
      </w:pPr>
    </w:p>
    <w:p w14:paraId="5A7D7E45" w14:textId="77777777" w:rsidR="00CD2321" w:rsidRPr="000D46CC" w:rsidRDefault="00D27709" w:rsidP="00CD2321">
      <w:pPr>
        <w:pStyle w:val="BodyText3"/>
        <w:spacing w:after="0" w:line="240" w:lineRule="auto"/>
        <w:rPr>
          <w:b/>
          <w:color w:val="000000"/>
          <w:sz w:val="20"/>
          <w:szCs w:val="20"/>
          <w:lang w:val="en-US"/>
        </w:rPr>
      </w:pPr>
      <w:r w:rsidRPr="000D46CC">
        <w:rPr>
          <w:rFonts w:eastAsia="LindeDaxOffice" w:cs="LindeDaxOffice"/>
          <w:b/>
          <w:bCs/>
          <w:color w:val="000000"/>
          <w:sz w:val="20"/>
          <w:szCs w:val="20"/>
          <w:bdr w:val="nil"/>
          <w:lang w:val="en-US"/>
        </w:rPr>
        <w:t>Further information:</w:t>
      </w:r>
    </w:p>
    <w:p w14:paraId="1B61FBA1" w14:textId="77777777" w:rsidR="00201369" w:rsidRDefault="00201369" w:rsidP="0087410B">
      <w:pPr>
        <w:rPr>
          <w:rFonts w:eastAsia="LindeDaxOffice" w:cs="LindeDaxOffice"/>
          <w:sz w:val="20"/>
          <w:szCs w:val="20"/>
          <w:bdr w:val="nil"/>
          <w:lang w:val="en-GB"/>
        </w:rPr>
      </w:pPr>
    </w:p>
    <w:p w14:paraId="258130FA" w14:textId="77777777" w:rsidR="002A373B" w:rsidRPr="000D46CC" w:rsidRDefault="002A373B" w:rsidP="002A373B">
      <w:pPr>
        <w:rPr>
          <w:sz w:val="20"/>
          <w:szCs w:val="20"/>
        </w:rPr>
      </w:pPr>
      <w:r w:rsidRPr="000D46CC">
        <w:rPr>
          <w:rFonts w:eastAsia="LindeDaxOffice" w:cs="LindeDaxOffice"/>
          <w:sz w:val="20"/>
          <w:szCs w:val="20"/>
          <w:bdr w:val="nil"/>
        </w:rPr>
        <w:t>Dr Thomas Hagn</w:t>
      </w:r>
    </w:p>
    <w:p w14:paraId="6840B1AC" w14:textId="77777777" w:rsidR="002A373B" w:rsidRPr="000A41C0" w:rsidRDefault="002A373B" w:rsidP="002A373B">
      <w:pPr>
        <w:rPr>
          <w:sz w:val="20"/>
          <w:szCs w:val="20"/>
        </w:rPr>
      </w:pPr>
      <w:r>
        <w:rPr>
          <w:rFonts w:eastAsia="LindeDaxOffice" w:cs="LindeDaxOffice"/>
          <w:sz w:val="20"/>
          <w:szCs w:val="20"/>
          <w:bdr w:val="nil"/>
          <w:lang w:val="en-GB"/>
        </w:rPr>
        <w:t>Technical Communications</w:t>
      </w:r>
    </w:p>
    <w:p w14:paraId="14ECFEEF" w14:textId="77777777" w:rsidR="002A373B" w:rsidRPr="000A41C0" w:rsidRDefault="002A373B" w:rsidP="002A373B">
      <w:pPr>
        <w:rPr>
          <w:sz w:val="20"/>
          <w:szCs w:val="20"/>
        </w:rPr>
      </w:pPr>
      <w:r>
        <w:rPr>
          <w:rFonts w:eastAsia="LindeDaxOffice" w:cs="LindeDaxOffice"/>
          <w:sz w:val="20"/>
          <w:szCs w:val="20"/>
          <w:bdr w:val="nil"/>
          <w:lang w:val="en-GB"/>
        </w:rPr>
        <w:t>Phone: +49-89-35757-1323</w:t>
      </w:r>
    </w:p>
    <w:p w14:paraId="125EFDDF" w14:textId="62FCDC6E" w:rsidR="0087410B" w:rsidRPr="00E167F0" w:rsidRDefault="002A373B" w:rsidP="002A373B">
      <w:pPr>
        <w:rPr>
          <w:rFonts w:eastAsia="LindeDaxOffice" w:cs="LindeDaxOffice"/>
          <w:sz w:val="20"/>
          <w:szCs w:val="20"/>
          <w:bdr w:val="nil"/>
        </w:rPr>
      </w:pPr>
      <w:r w:rsidRPr="00E167F0">
        <w:rPr>
          <w:rFonts w:eastAsia="LindeDaxOffice" w:cs="LindeDaxOffice"/>
          <w:sz w:val="20"/>
          <w:szCs w:val="20"/>
          <w:bdr w:val="nil"/>
        </w:rPr>
        <w:t xml:space="preserve">E-mail: </w:t>
      </w:r>
      <w:hyperlink r:id="rId9" w:history="1">
        <w:r w:rsidRPr="00E167F0">
          <w:rPr>
            <w:rFonts w:eastAsia="LindeDaxOffice" w:cs="LindeDaxOffice"/>
            <w:color w:val="0000FF"/>
            <w:sz w:val="20"/>
            <w:szCs w:val="20"/>
            <w:u w:val="single"/>
            <w:bdr w:val="nil"/>
          </w:rPr>
          <w:t>thomas.hagn@linde.com</w:t>
        </w:r>
      </w:hyperlink>
    </w:p>
    <w:sectPr w:rsidR="0087410B" w:rsidRPr="00E167F0" w:rsidSect="000D46CC">
      <w:headerReference w:type="default" r:id="rId10"/>
      <w:footerReference w:type="default" r:id="rId11"/>
      <w:pgSz w:w="12240" w:h="15840"/>
      <w:pgMar w:top="3240" w:right="1608" w:bottom="450" w:left="1440" w:header="1350" w:footer="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A7B105" w14:textId="77777777" w:rsidR="00C43F6B" w:rsidRDefault="00C43F6B">
      <w:r>
        <w:separator/>
      </w:r>
    </w:p>
  </w:endnote>
  <w:endnote w:type="continuationSeparator" w:id="0">
    <w:p w14:paraId="02489402" w14:textId="77777777" w:rsidR="00C43F6B" w:rsidRDefault="00C43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LindeDaxOffice">
    <w:altName w:val="Arial"/>
    <w:charset w:val="00"/>
    <w:family w:val="swiss"/>
    <w:pitch w:val="variable"/>
    <w:sig w:usb0="00000001" w:usb1="5000206A" w:usb2="00000000" w:usb3="00000000" w:csb0="00000093"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Angsana New">
    <w:panose1 w:val="02020603050405020304"/>
    <w:charset w:val="00"/>
    <w:family w:val="auto"/>
    <w:pitch w:val="variable"/>
    <w:sig w:usb0="81000003" w:usb1="00000000" w:usb2="00000000" w:usb3="00000000" w:csb0="00010001" w:csb1="00000000"/>
  </w:font>
  <w:font w:name="LindeDaxGlobal">
    <w:charset w:val="80"/>
    <w:family w:val="auto"/>
    <w:pitch w:val="variable"/>
    <w:sig w:usb0="F5002EFF" w:usb1="BBDFFBEF" w:usb2="0200001E" w:usb3="00000000" w:csb0="003F01FF" w:csb1="00000000"/>
  </w:font>
  <w:font w:name="Batang">
    <w:panose1 w:val="02030600000101010101"/>
    <w:charset w:val="81"/>
    <w:family w:val="auto"/>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D6CCFB" w14:textId="77777777" w:rsidR="00CD2321" w:rsidRDefault="00CD2321" w:rsidP="00CD2321">
    <w:pPr>
      <w:spacing w:after="240"/>
    </w:pPr>
  </w:p>
  <w:tbl>
    <w:tblPr>
      <w:tblW w:w="8567" w:type="dxa"/>
      <w:tblLayout w:type="fixed"/>
      <w:tblCellMar>
        <w:left w:w="0" w:type="dxa"/>
        <w:right w:w="0" w:type="dxa"/>
      </w:tblCellMar>
      <w:tblLook w:val="00A0" w:firstRow="1" w:lastRow="0" w:firstColumn="1" w:lastColumn="0" w:noHBand="0" w:noVBand="0"/>
    </w:tblPr>
    <w:tblGrid>
      <w:gridCol w:w="3420"/>
      <w:gridCol w:w="3420"/>
      <w:gridCol w:w="1727"/>
    </w:tblGrid>
    <w:tr w:rsidR="00CD2321" w14:paraId="44BDE85B" w14:textId="77777777" w:rsidTr="00CD2321">
      <w:tc>
        <w:tcPr>
          <w:tcW w:w="3420" w:type="dxa"/>
          <w:shd w:val="clear" w:color="auto" w:fill="auto"/>
        </w:tcPr>
        <w:p w14:paraId="5C828BFA" w14:textId="77777777" w:rsidR="00CD2321" w:rsidRPr="00702483" w:rsidRDefault="00CD2321" w:rsidP="00307275">
          <w:pPr>
            <w:rPr>
              <w:color w:val="000000"/>
              <w:sz w:val="20"/>
              <w:szCs w:val="20"/>
            </w:rPr>
          </w:pPr>
        </w:p>
      </w:tc>
      <w:tc>
        <w:tcPr>
          <w:tcW w:w="3420" w:type="dxa"/>
          <w:shd w:val="clear" w:color="auto" w:fill="auto"/>
        </w:tcPr>
        <w:p w14:paraId="1740EB03" w14:textId="77777777" w:rsidR="00CD2321" w:rsidRPr="00702483" w:rsidRDefault="00CD2321" w:rsidP="00CD2321">
          <w:pPr>
            <w:pStyle w:val="BodyText3"/>
            <w:spacing w:after="0" w:line="240" w:lineRule="atLeast"/>
            <w:rPr>
              <w:rFonts w:eastAsia="Batang" w:cs="LindeDaxOffice"/>
              <w:color w:val="000000"/>
              <w:sz w:val="20"/>
              <w:szCs w:val="20"/>
              <w:lang w:eastAsia="ko-KR"/>
            </w:rPr>
          </w:pPr>
        </w:p>
        <w:p w14:paraId="308488DD" w14:textId="77777777" w:rsidR="00CD2321" w:rsidRPr="00E00C1A" w:rsidRDefault="00CD2321" w:rsidP="00CD2321">
          <w:pPr>
            <w:spacing w:line="240" w:lineRule="atLeast"/>
            <w:rPr>
              <w:sz w:val="20"/>
              <w:szCs w:val="20"/>
              <w:lang w:val="da-DK"/>
            </w:rPr>
          </w:pPr>
        </w:p>
      </w:tc>
      <w:tc>
        <w:tcPr>
          <w:tcW w:w="1727" w:type="dxa"/>
          <w:shd w:val="clear" w:color="auto" w:fill="auto"/>
        </w:tcPr>
        <w:p w14:paraId="678357A8" w14:textId="75AA91DA" w:rsidR="00CD2321" w:rsidRPr="00E00C1A" w:rsidRDefault="00CD2321" w:rsidP="00CD2321">
          <w:pPr>
            <w:pStyle w:val="Footer"/>
            <w:jc w:val="right"/>
            <w:rPr>
              <w:sz w:val="20"/>
              <w:szCs w:val="20"/>
            </w:rPr>
          </w:pPr>
          <w:r>
            <w:rPr>
              <w:rFonts w:eastAsia="LindeDaxOffice" w:cs="LindeDaxOffice"/>
              <w:sz w:val="20"/>
              <w:szCs w:val="20"/>
              <w:bdr w:val="nil"/>
              <w:lang w:val="en-GB"/>
            </w:rPr>
            <w:t xml:space="preserve">Page </w:t>
          </w:r>
          <w:r w:rsidRPr="00E00C1A">
            <w:rPr>
              <w:sz w:val="20"/>
              <w:szCs w:val="20"/>
            </w:rPr>
            <w:fldChar w:fldCharType="begin"/>
          </w:r>
          <w:r w:rsidRPr="00E00C1A">
            <w:rPr>
              <w:sz w:val="20"/>
              <w:szCs w:val="20"/>
            </w:rPr>
            <w:instrText xml:space="preserve"> PAGE  \* Arabic  \* MERGEFORMAT </w:instrText>
          </w:r>
          <w:r w:rsidRPr="00E00C1A">
            <w:rPr>
              <w:sz w:val="20"/>
              <w:szCs w:val="20"/>
            </w:rPr>
            <w:fldChar w:fldCharType="separate"/>
          </w:r>
          <w:r w:rsidR="00FE2F61" w:rsidRPr="00FE2F61">
            <w:rPr>
              <w:noProof/>
              <w:sz w:val="20"/>
              <w:szCs w:val="20"/>
              <w:lang w:val="de-DE"/>
            </w:rPr>
            <w:t>2</w:t>
          </w:r>
          <w:r w:rsidRPr="00E00C1A">
            <w:rPr>
              <w:sz w:val="20"/>
              <w:szCs w:val="20"/>
            </w:rPr>
            <w:fldChar w:fldCharType="end"/>
          </w:r>
        </w:p>
        <w:p w14:paraId="34C6ABE9" w14:textId="77777777" w:rsidR="00CD2321" w:rsidRPr="00E00C1A" w:rsidRDefault="00CD2321" w:rsidP="00CD2321">
          <w:pPr>
            <w:pStyle w:val="Footer"/>
            <w:rPr>
              <w:sz w:val="20"/>
              <w:szCs w:val="20"/>
            </w:rPr>
          </w:pPr>
        </w:p>
      </w:tc>
    </w:tr>
  </w:tbl>
  <w:p w14:paraId="4487B550" w14:textId="77777777" w:rsidR="00CD2321" w:rsidRDefault="00CD2321" w:rsidP="00CD232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E9F18D" w14:textId="77777777" w:rsidR="00C43F6B" w:rsidRDefault="00C43F6B">
      <w:r>
        <w:separator/>
      </w:r>
    </w:p>
  </w:footnote>
  <w:footnote w:type="continuationSeparator" w:id="0">
    <w:p w14:paraId="6E19816C" w14:textId="77777777" w:rsidR="00C43F6B" w:rsidRDefault="00C43F6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6755C7" w14:textId="77777777" w:rsidR="00CD2321" w:rsidRDefault="00CD2321">
    <w:pPr>
      <w:pStyle w:val="Header"/>
    </w:pPr>
    <w:r>
      <w:rPr>
        <w:noProof/>
        <w:lang w:eastAsia="en-US"/>
      </w:rPr>
      <w:drawing>
        <wp:anchor distT="0" distB="0" distL="114300" distR="114300" simplePos="0" relativeHeight="251658240" behindDoc="1" locked="0" layoutInCell="1" allowOverlap="1" wp14:anchorId="223899EB" wp14:editId="70759BB8">
          <wp:simplePos x="0" y="0"/>
          <wp:positionH relativeFrom="page">
            <wp:posOffset>512445</wp:posOffset>
          </wp:positionH>
          <wp:positionV relativeFrom="page">
            <wp:posOffset>198120</wp:posOffset>
          </wp:positionV>
          <wp:extent cx="6839585" cy="972185"/>
          <wp:effectExtent l="0" t="0" r="0" b="0"/>
          <wp:wrapNone/>
          <wp:docPr id="4" name="Picture 97" descr="LG_Design_Module_DIN_A4_3c Kop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descr="LG_Design_Module_DIN_A4_3c Kopi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39585" cy="972185"/>
                  </a:xfrm>
                  <a:prstGeom prst="rect">
                    <a:avLst/>
                  </a:prstGeom>
                  <a:noFill/>
                </pic:spPr>
              </pic:pic>
            </a:graphicData>
          </a:graphic>
        </wp:anchor>
      </w:drawing>
    </w:r>
  </w:p>
  <w:p w14:paraId="10527F20" w14:textId="77777777" w:rsidR="00CD2321" w:rsidRDefault="00CD2321">
    <w:pPr>
      <w:pStyle w:val="Header"/>
    </w:pPr>
  </w:p>
  <w:p w14:paraId="47E39B35" w14:textId="77777777" w:rsidR="00CD2321" w:rsidRDefault="00CD2321">
    <w:pPr>
      <w:pStyle w:val="Header"/>
    </w:pPr>
  </w:p>
  <w:p w14:paraId="01C61D05" w14:textId="77777777" w:rsidR="00CD2321" w:rsidRDefault="00CD2321">
    <w:pPr>
      <w:pStyle w:val="Header"/>
    </w:pPr>
  </w:p>
  <w:p w14:paraId="2853F759" w14:textId="77777777" w:rsidR="00CD2321" w:rsidRPr="009D2861" w:rsidRDefault="00CD2321">
    <w:pPr>
      <w:pStyle w:val="Header"/>
      <w:rPr>
        <w:sz w:val="40"/>
      </w:rPr>
    </w:pPr>
    <w:r>
      <w:rPr>
        <w:rFonts w:eastAsia="LindeDaxOffice" w:cs="LindeDaxOffice"/>
        <w:sz w:val="40"/>
        <w:szCs w:val="40"/>
        <w:bdr w:val="nil"/>
        <w:lang w:val="en-GB"/>
      </w:rPr>
      <w:t>Press release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A9140E96"/>
    <w:lvl w:ilvl="0">
      <w:numFmt w:val="bullet"/>
      <w:lvlText w:val="*"/>
      <w:lvlJc w:val="left"/>
    </w:lvl>
  </w:abstractNum>
  <w:abstractNum w:abstractNumId="1">
    <w:nsid w:val="20260CB7"/>
    <w:multiLevelType w:val="hybridMultilevel"/>
    <w:tmpl w:val="EB48BBB6"/>
    <w:lvl w:ilvl="0" w:tplc="66926D82">
      <w:start w:val="1"/>
      <w:numFmt w:val="bullet"/>
      <w:pStyle w:val="Answer"/>
      <w:lvlText w:val="Q"/>
      <w:lvlJc w:val="left"/>
      <w:pPr>
        <w:ind w:left="720" w:hanging="360"/>
      </w:pPr>
      <w:rPr>
        <w:rFonts w:ascii="Calibri" w:hAnsi="Calibri" w:hint="default"/>
        <w:b/>
        <w:i w:val="0"/>
        <w:color w:val="C00000"/>
      </w:rPr>
    </w:lvl>
    <w:lvl w:ilvl="1" w:tplc="7FEAD490" w:tentative="1">
      <w:start w:val="1"/>
      <w:numFmt w:val="bullet"/>
      <w:lvlText w:val="o"/>
      <w:lvlJc w:val="left"/>
      <w:pPr>
        <w:ind w:left="1440" w:hanging="360"/>
      </w:pPr>
      <w:rPr>
        <w:rFonts w:ascii="Courier New" w:hAnsi="Courier New" w:cs="Courier New" w:hint="default"/>
      </w:rPr>
    </w:lvl>
    <w:lvl w:ilvl="2" w:tplc="4A66B0AC" w:tentative="1">
      <w:start w:val="1"/>
      <w:numFmt w:val="bullet"/>
      <w:lvlText w:val=""/>
      <w:lvlJc w:val="left"/>
      <w:pPr>
        <w:ind w:left="2160" w:hanging="360"/>
      </w:pPr>
      <w:rPr>
        <w:rFonts w:ascii="Wingdings" w:hAnsi="Wingdings" w:hint="default"/>
      </w:rPr>
    </w:lvl>
    <w:lvl w:ilvl="3" w:tplc="3B7A3CA6" w:tentative="1">
      <w:start w:val="1"/>
      <w:numFmt w:val="bullet"/>
      <w:lvlText w:val=""/>
      <w:lvlJc w:val="left"/>
      <w:pPr>
        <w:ind w:left="2880" w:hanging="360"/>
      </w:pPr>
      <w:rPr>
        <w:rFonts w:ascii="Symbol" w:hAnsi="Symbol" w:hint="default"/>
      </w:rPr>
    </w:lvl>
    <w:lvl w:ilvl="4" w:tplc="40C29F58" w:tentative="1">
      <w:start w:val="1"/>
      <w:numFmt w:val="bullet"/>
      <w:lvlText w:val="o"/>
      <w:lvlJc w:val="left"/>
      <w:pPr>
        <w:ind w:left="3600" w:hanging="360"/>
      </w:pPr>
      <w:rPr>
        <w:rFonts w:ascii="Courier New" w:hAnsi="Courier New" w:cs="Courier New" w:hint="default"/>
      </w:rPr>
    </w:lvl>
    <w:lvl w:ilvl="5" w:tplc="9C8AF706" w:tentative="1">
      <w:start w:val="1"/>
      <w:numFmt w:val="bullet"/>
      <w:lvlText w:val=""/>
      <w:lvlJc w:val="left"/>
      <w:pPr>
        <w:ind w:left="4320" w:hanging="360"/>
      </w:pPr>
      <w:rPr>
        <w:rFonts w:ascii="Wingdings" w:hAnsi="Wingdings" w:hint="default"/>
      </w:rPr>
    </w:lvl>
    <w:lvl w:ilvl="6" w:tplc="2AE277B6" w:tentative="1">
      <w:start w:val="1"/>
      <w:numFmt w:val="bullet"/>
      <w:lvlText w:val=""/>
      <w:lvlJc w:val="left"/>
      <w:pPr>
        <w:ind w:left="5040" w:hanging="360"/>
      </w:pPr>
      <w:rPr>
        <w:rFonts w:ascii="Symbol" w:hAnsi="Symbol" w:hint="default"/>
      </w:rPr>
    </w:lvl>
    <w:lvl w:ilvl="7" w:tplc="EF7ADBC2" w:tentative="1">
      <w:start w:val="1"/>
      <w:numFmt w:val="bullet"/>
      <w:lvlText w:val="o"/>
      <w:lvlJc w:val="left"/>
      <w:pPr>
        <w:ind w:left="5760" w:hanging="360"/>
      </w:pPr>
      <w:rPr>
        <w:rFonts w:ascii="Courier New" w:hAnsi="Courier New" w:cs="Courier New" w:hint="default"/>
      </w:rPr>
    </w:lvl>
    <w:lvl w:ilvl="8" w:tplc="4964F8EC" w:tentative="1">
      <w:start w:val="1"/>
      <w:numFmt w:val="bullet"/>
      <w:lvlText w:val=""/>
      <w:lvlJc w:val="left"/>
      <w:pPr>
        <w:ind w:left="6480" w:hanging="360"/>
      </w:pPr>
      <w:rPr>
        <w:rFonts w:ascii="Wingdings" w:hAnsi="Wingdings" w:hint="default"/>
      </w:rPr>
    </w:lvl>
  </w:abstractNum>
  <w:abstractNum w:abstractNumId="2">
    <w:nsid w:val="39146DAC"/>
    <w:multiLevelType w:val="hybridMultilevel"/>
    <w:tmpl w:val="4B267114"/>
    <w:lvl w:ilvl="0" w:tplc="F5B26E4A">
      <w:start w:val="1"/>
      <w:numFmt w:val="bullet"/>
      <w:pStyle w:val="Question"/>
      <w:lvlText w:val="A"/>
      <w:lvlJc w:val="left"/>
      <w:pPr>
        <w:ind w:left="720" w:hanging="360"/>
      </w:pPr>
      <w:rPr>
        <w:rFonts w:ascii="Calibri" w:hAnsi="Calibri" w:hint="default"/>
        <w:b/>
        <w:i w:val="0"/>
        <w:color w:val="C00000"/>
      </w:rPr>
    </w:lvl>
    <w:lvl w:ilvl="1" w:tplc="67E63818" w:tentative="1">
      <w:start w:val="1"/>
      <w:numFmt w:val="bullet"/>
      <w:lvlText w:val="o"/>
      <w:lvlJc w:val="left"/>
      <w:pPr>
        <w:ind w:left="1440" w:hanging="360"/>
      </w:pPr>
      <w:rPr>
        <w:rFonts w:ascii="Courier New" w:hAnsi="Courier New" w:cs="Courier New" w:hint="default"/>
      </w:rPr>
    </w:lvl>
    <w:lvl w:ilvl="2" w:tplc="3FF6447E" w:tentative="1">
      <w:start w:val="1"/>
      <w:numFmt w:val="bullet"/>
      <w:lvlText w:val=""/>
      <w:lvlJc w:val="left"/>
      <w:pPr>
        <w:ind w:left="2160" w:hanging="360"/>
      </w:pPr>
      <w:rPr>
        <w:rFonts w:ascii="Wingdings" w:hAnsi="Wingdings" w:hint="default"/>
      </w:rPr>
    </w:lvl>
    <w:lvl w:ilvl="3" w:tplc="20A0E878" w:tentative="1">
      <w:start w:val="1"/>
      <w:numFmt w:val="bullet"/>
      <w:lvlText w:val=""/>
      <w:lvlJc w:val="left"/>
      <w:pPr>
        <w:ind w:left="2880" w:hanging="360"/>
      </w:pPr>
      <w:rPr>
        <w:rFonts w:ascii="Symbol" w:hAnsi="Symbol" w:hint="default"/>
      </w:rPr>
    </w:lvl>
    <w:lvl w:ilvl="4" w:tplc="FDA8D2D2" w:tentative="1">
      <w:start w:val="1"/>
      <w:numFmt w:val="bullet"/>
      <w:lvlText w:val="o"/>
      <w:lvlJc w:val="left"/>
      <w:pPr>
        <w:ind w:left="3600" w:hanging="360"/>
      </w:pPr>
      <w:rPr>
        <w:rFonts w:ascii="Courier New" w:hAnsi="Courier New" w:cs="Courier New" w:hint="default"/>
      </w:rPr>
    </w:lvl>
    <w:lvl w:ilvl="5" w:tplc="82322FC6" w:tentative="1">
      <w:start w:val="1"/>
      <w:numFmt w:val="bullet"/>
      <w:lvlText w:val=""/>
      <w:lvlJc w:val="left"/>
      <w:pPr>
        <w:ind w:left="4320" w:hanging="360"/>
      </w:pPr>
      <w:rPr>
        <w:rFonts w:ascii="Wingdings" w:hAnsi="Wingdings" w:hint="default"/>
      </w:rPr>
    </w:lvl>
    <w:lvl w:ilvl="6" w:tplc="0CA6847E" w:tentative="1">
      <w:start w:val="1"/>
      <w:numFmt w:val="bullet"/>
      <w:lvlText w:val=""/>
      <w:lvlJc w:val="left"/>
      <w:pPr>
        <w:ind w:left="5040" w:hanging="360"/>
      </w:pPr>
      <w:rPr>
        <w:rFonts w:ascii="Symbol" w:hAnsi="Symbol" w:hint="default"/>
      </w:rPr>
    </w:lvl>
    <w:lvl w:ilvl="7" w:tplc="6D76D360" w:tentative="1">
      <w:start w:val="1"/>
      <w:numFmt w:val="bullet"/>
      <w:lvlText w:val="o"/>
      <w:lvlJc w:val="left"/>
      <w:pPr>
        <w:ind w:left="5760" w:hanging="360"/>
      </w:pPr>
      <w:rPr>
        <w:rFonts w:ascii="Courier New" w:hAnsi="Courier New" w:cs="Courier New" w:hint="default"/>
      </w:rPr>
    </w:lvl>
    <w:lvl w:ilvl="8" w:tplc="C8D64290" w:tentative="1">
      <w:start w:val="1"/>
      <w:numFmt w:val="bullet"/>
      <w:lvlText w:val=""/>
      <w:lvlJc w:val="left"/>
      <w:pPr>
        <w:ind w:left="6480" w:hanging="360"/>
      </w:pPr>
      <w:rPr>
        <w:rFonts w:ascii="Wingdings" w:hAnsi="Wingdings" w:hint="default"/>
      </w:rPr>
    </w:lvl>
  </w:abstractNum>
  <w:abstractNum w:abstractNumId="3">
    <w:nsid w:val="45B62C64"/>
    <w:multiLevelType w:val="hybridMultilevel"/>
    <w:tmpl w:val="C620635A"/>
    <w:lvl w:ilvl="0" w:tplc="2E525E9E">
      <w:numFmt w:val="bullet"/>
      <w:lvlText w:val=""/>
      <w:legacy w:legacy="1" w:legacySpace="0" w:legacyIndent="0"/>
      <w:lvlJc w:val="left"/>
      <w:rPr>
        <w:rFonts w:ascii="Symbol" w:hAnsi="Symbol" w:hint="default"/>
        <w:sz w:val="22"/>
      </w:rPr>
    </w:lvl>
    <w:lvl w:ilvl="1" w:tplc="2B6899CA" w:tentative="1">
      <w:start w:val="1"/>
      <w:numFmt w:val="bullet"/>
      <w:lvlText w:val="o"/>
      <w:lvlJc w:val="left"/>
      <w:pPr>
        <w:ind w:left="8820" w:hanging="360"/>
      </w:pPr>
      <w:rPr>
        <w:rFonts w:ascii="Courier New" w:hAnsi="Courier New" w:cs="Courier New" w:hint="default"/>
      </w:rPr>
    </w:lvl>
    <w:lvl w:ilvl="2" w:tplc="6F7422E8" w:tentative="1">
      <w:start w:val="1"/>
      <w:numFmt w:val="bullet"/>
      <w:lvlText w:val=""/>
      <w:lvlJc w:val="left"/>
      <w:pPr>
        <w:ind w:left="9540" w:hanging="360"/>
      </w:pPr>
      <w:rPr>
        <w:rFonts w:ascii="Wingdings" w:hAnsi="Wingdings" w:hint="default"/>
      </w:rPr>
    </w:lvl>
    <w:lvl w:ilvl="3" w:tplc="73F4DF22" w:tentative="1">
      <w:start w:val="1"/>
      <w:numFmt w:val="bullet"/>
      <w:lvlText w:val=""/>
      <w:lvlJc w:val="left"/>
      <w:pPr>
        <w:ind w:left="10260" w:hanging="360"/>
      </w:pPr>
      <w:rPr>
        <w:rFonts w:ascii="Symbol" w:hAnsi="Symbol" w:hint="default"/>
      </w:rPr>
    </w:lvl>
    <w:lvl w:ilvl="4" w:tplc="A0D6B714" w:tentative="1">
      <w:start w:val="1"/>
      <w:numFmt w:val="bullet"/>
      <w:lvlText w:val="o"/>
      <w:lvlJc w:val="left"/>
      <w:pPr>
        <w:ind w:left="10980" w:hanging="360"/>
      </w:pPr>
      <w:rPr>
        <w:rFonts w:ascii="Courier New" w:hAnsi="Courier New" w:cs="Courier New" w:hint="default"/>
      </w:rPr>
    </w:lvl>
    <w:lvl w:ilvl="5" w:tplc="E94E0162" w:tentative="1">
      <w:start w:val="1"/>
      <w:numFmt w:val="bullet"/>
      <w:lvlText w:val=""/>
      <w:lvlJc w:val="left"/>
      <w:pPr>
        <w:ind w:left="11700" w:hanging="360"/>
      </w:pPr>
      <w:rPr>
        <w:rFonts w:ascii="Wingdings" w:hAnsi="Wingdings" w:hint="default"/>
      </w:rPr>
    </w:lvl>
    <w:lvl w:ilvl="6" w:tplc="7E98097C" w:tentative="1">
      <w:start w:val="1"/>
      <w:numFmt w:val="bullet"/>
      <w:lvlText w:val=""/>
      <w:lvlJc w:val="left"/>
      <w:pPr>
        <w:ind w:left="12420" w:hanging="360"/>
      </w:pPr>
      <w:rPr>
        <w:rFonts w:ascii="Symbol" w:hAnsi="Symbol" w:hint="default"/>
      </w:rPr>
    </w:lvl>
    <w:lvl w:ilvl="7" w:tplc="1452EC26" w:tentative="1">
      <w:start w:val="1"/>
      <w:numFmt w:val="bullet"/>
      <w:lvlText w:val="o"/>
      <w:lvlJc w:val="left"/>
      <w:pPr>
        <w:ind w:left="13140" w:hanging="360"/>
      </w:pPr>
      <w:rPr>
        <w:rFonts w:ascii="Courier New" w:hAnsi="Courier New" w:cs="Courier New" w:hint="default"/>
      </w:rPr>
    </w:lvl>
    <w:lvl w:ilvl="8" w:tplc="FC2CE5F6" w:tentative="1">
      <w:start w:val="1"/>
      <w:numFmt w:val="bullet"/>
      <w:lvlText w:val=""/>
      <w:lvlJc w:val="left"/>
      <w:pPr>
        <w:ind w:left="13860" w:hanging="360"/>
      </w:pPr>
      <w:rPr>
        <w:rFonts w:ascii="Wingdings" w:hAnsi="Wingdings" w:hint="default"/>
      </w:rPr>
    </w:lvl>
  </w:abstractNum>
  <w:abstractNum w:abstractNumId="4">
    <w:nsid w:val="507971C4"/>
    <w:multiLevelType w:val="hybridMultilevel"/>
    <w:tmpl w:val="99ACFA66"/>
    <w:lvl w:ilvl="0" w:tplc="25F46E04">
      <w:start w:val="1"/>
      <w:numFmt w:val="bullet"/>
      <w:lvlText w:val=""/>
      <w:lvlJc w:val="left"/>
      <w:pPr>
        <w:ind w:left="720" w:hanging="360"/>
      </w:pPr>
      <w:rPr>
        <w:rFonts w:ascii="Symbol" w:hAnsi="Symbol" w:hint="default"/>
      </w:rPr>
    </w:lvl>
    <w:lvl w:ilvl="1" w:tplc="286885B8" w:tentative="1">
      <w:start w:val="1"/>
      <w:numFmt w:val="bullet"/>
      <w:lvlText w:val="o"/>
      <w:lvlJc w:val="left"/>
      <w:pPr>
        <w:ind w:left="1440" w:hanging="360"/>
      </w:pPr>
      <w:rPr>
        <w:rFonts w:ascii="Courier New" w:hAnsi="Courier New" w:cs="Courier New" w:hint="default"/>
      </w:rPr>
    </w:lvl>
    <w:lvl w:ilvl="2" w:tplc="5B006D66" w:tentative="1">
      <w:start w:val="1"/>
      <w:numFmt w:val="bullet"/>
      <w:lvlText w:val=""/>
      <w:lvlJc w:val="left"/>
      <w:pPr>
        <w:ind w:left="2160" w:hanging="360"/>
      </w:pPr>
      <w:rPr>
        <w:rFonts w:ascii="Wingdings" w:hAnsi="Wingdings" w:hint="default"/>
      </w:rPr>
    </w:lvl>
    <w:lvl w:ilvl="3" w:tplc="3C166A88" w:tentative="1">
      <w:start w:val="1"/>
      <w:numFmt w:val="bullet"/>
      <w:lvlText w:val=""/>
      <w:lvlJc w:val="left"/>
      <w:pPr>
        <w:ind w:left="2880" w:hanging="360"/>
      </w:pPr>
      <w:rPr>
        <w:rFonts w:ascii="Symbol" w:hAnsi="Symbol" w:hint="default"/>
      </w:rPr>
    </w:lvl>
    <w:lvl w:ilvl="4" w:tplc="65E226C4" w:tentative="1">
      <w:start w:val="1"/>
      <w:numFmt w:val="bullet"/>
      <w:lvlText w:val="o"/>
      <w:lvlJc w:val="left"/>
      <w:pPr>
        <w:ind w:left="3600" w:hanging="360"/>
      </w:pPr>
      <w:rPr>
        <w:rFonts w:ascii="Courier New" w:hAnsi="Courier New" w:cs="Courier New" w:hint="default"/>
      </w:rPr>
    </w:lvl>
    <w:lvl w:ilvl="5" w:tplc="99FE20A8" w:tentative="1">
      <w:start w:val="1"/>
      <w:numFmt w:val="bullet"/>
      <w:lvlText w:val=""/>
      <w:lvlJc w:val="left"/>
      <w:pPr>
        <w:ind w:left="4320" w:hanging="360"/>
      </w:pPr>
      <w:rPr>
        <w:rFonts w:ascii="Wingdings" w:hAnsi="Wingdings" w:hint="default"/>
      </w:rPr>
    </w:lvl>
    <w:lvl w:ilvl="6" w:tplc="26968D14" w:tentative="1">
      <w:start w:val="1"/>
      <w:numFmt w:val="bullet"/>
      <w:lvlText w:val=""/>
      <w:lvlJc w:val="left"/>
      <w:pPr>
        <w:ind w:left="5040" w:hanging="360"/>
      </w:pPr>
      <w:rPr>
        <w:rFonts w:ascii="Symbol" w:hAnsi="Symbol" w:hint="default"/>
      </w:rPr>
    </w:lvl>
    <w:lvl w:ilvl="7" w:tplc="AF340016" w:tentative="1">
      <w:start w:val="1"/>
      <w:numFmt w:val="bullet"/>
      <w:lvlText w:val="o"/>
      <w:lvlJc w:val="left"/>
      <w:pPr>
        <w:ind w:left="5760" w:hanging="360"/>
      </w:pPr>
      <w:rPr>
        <w:rFonts w:ascii="Courier New" w:hAnsi="Courier New" w:cs="Courier New" w:hint="default"/>
      </w:rPr>
    </w:lvl>
    <w:lvl w:ilvl="8" w:tplc="83B64952" w:tentative="1">
      <w:start w:val="1"/>
      <w:numFmt w:val="bullet"/>
      <w:lvlText w:val=""/>
      <w:lvlJc w:val="left"/>
      <w:pPr>
        <w:ind w:left="6480" w:hanging="360"/>
      </w:pPr>
      <w:rPr>
        <w:rFonts w:ascii="Wingdings" w:hAnsi="Wingdings" w:hint="default"/>
      </w:rPr>
    </w:lvl>
  </w:abstractNum>
  <w:abstractNum w:abstractNumId="5">
    <w:nsid w:val="52F37DD6"/>
    <w:multiLevelType w:val="hybridMultilevel"/>
    <w:tmpl w:val="93661956"/>
    <w:lvl w:ilvl="0" w:tplc="B570FC26">
      <w:start w:val="1"/>
      <w:numFmt w:val="bullet"/>
      <w:lvlText w:val=""/>
      <w:lvlJc w:val="left"/>
      <w:pPr>
        <w:ind w:left="1080" w:hanging="360"/>
      </w:pPr>
      <w:rPr>
        <w:rFonts w:ascii="Symbol" w:hAnsi="Symbol" w:hint="default"/>
      </w:rPr>
    </w:lvl>
    <w:lvl w:ilvl="1" w:tplc="042C8194" w:tentative="1">
      <w:start w:val="1"/>
      <w:numFmt w:val="bullet"/>
      <w:lvlText w:val="o"/>
      <w:lvlJc w:val="left"/>
      <w:pPr>
        <w:ind w:left="1800" w:hanging="360"/>
      </w:pPr>
      <w:rPr>
        <w:rFonts w:ascii="Courier New" w:hAnsi="Courier New" w:cs="Courier New" w:hint="default"/>
      </w:rPr>
    </w:lvl>
    <w:lvl w:ilvl="2" w:tplc="93C4291C" w:tentative="1">
      <w:start w:val="1"/>
      <w:numFmt w:val="bullet"/>
      <w:lvlText w:val=""/>
      <w:lvlJc w:val="left"/>
      <w:pPr>
        <w:ind w:left="2520" w:hanging="360"/>
      </w:pPr>
      <w:rPr>
        <w:rFonts w:ascii="Wingdings" w:hAnsi="Wingdings" w:hint="default"/>
      </w:rPr>
    </w:lvl>
    <w:lvl w:ilvl="3" w:tplc="8960AEBA" w:tentative="1">
      <w:start w:val="1"/>
      <w:numFmt w:val="bullet"/>
      <w:lvlText w:val=""/>
      <w:lvlJc w:val="left"/>
      <w:pPr>
        <w:ind w:left="3240" w:hanging="360"/>
      </w:pPr>
      <w:rPr>
        <w:rFonts w:ascii="Symbol" w:hAnsi="Symbol" w:hint="default"/>
      </w:rPr>
    </w:lvl>
    <w:lvl w:ilvl="4" w:tplc="A8D43D02" w:tentative="1">
      <w:start w:val="1"/>
      <w:numFmt w:val="bullet"/>
      <w:lvlText w:val="o"/>
      <w:lvlJc w:val="left"/>
      <w:pPr>
        <w:ind w:left="3960" w:hanging="360"/>
      </w:pPr>
      <w:rPr>
        <w:rFonts w:ascii="Courier New" w:hAnsi="Courier New" w:cs="Courier New" w:hint="default"/>
      </w:rPr>
    </w:lvl>
    <w:lvl w:ilvl="5" w:tplc="E89C517A" w:tentative="1">
      <w:start w:val="1"/>
      <w:numFmt w:val="bullet"/>
      <w:lvlText w:val=""/>
      <w:lvlJc w:val="left"/>
      <w:pPr>
        <w:ind w:left="4680" w:hanging="360"/>
      </w:pPr>
      <w:rPr>
        <w:rFonts w:ascii="Wingdings" w:hAnsi="Wingdings" w:hint="default"/>
      </w:rPr>
    </w:lvl>
    <w:lvl w:ilvl="6" w:tplc="27F2E36E" w:tentative="1">
      <w:start w:val="1"/>
      <w:numFmt w:val="bullet"/>
      <w:lvlText w:val=""/>
      <w:lvlJc w:val="left"/>
      <w:pPr>
        <w:ind w:left="5400" w:hanging="360"/>
      </w:pPr>
      <w:rPr>
        <w:rFonts w:ascii="Symbol" w:hAnsi="Symbol" w:hint="default"/>
      </w:rPr>
    </w:lvl>
    <w:lvl w:ilvl="7" w:tplc="963AC952" w:tentative="1">
      <w:start w:val="1"/>
      <w:numFmt w:val="bullet"/>
      <w:lvlText w:val="o"/>
      <w:lvlJc w:val="left"/>
      <w:pPr>
        <w:ind w:left="6120" w:hanging="360"/>
      </w:pPr>
      <w:rPr>
        <w:rFonts w:ascii="Courier New" w:hAnsi="Courier New" w:cs="Courier New" w:hint="default"/>
      </w:rPr>
    </w:lvl>
    <w:lvl w:ilvl="8" w:tplc="E6E6B83E" w:tentative="1">
      <w:start w:val="1"/>
      <w:numFmt w:val="bullet"/>
      <w:lvlText w:val=""/>
      <w:lvlJc w:val="left"/>
      <w:pPr>
        <w:ind w:left="6840" w:hanging="360"/>
      </w:pPr>
      <w:rPr>
        <w:rFonts w:ascii="Wingdings" w:hAnsi="Wingdings" w:hint="default"/>
      </w:rPr>
    </w:lvl>
  </w:abstractNum>
  <w:abstractNum w:abstractNumId="6">
    <w:nsid w:val="5484016C"/>
    <w:multiLevelType w:val="multilevel"/>
    <w:tmpl w:val="596E50EC"/>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52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432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6120"/>
        </w:tabs>
        <w:ind w:left="3240" w:hanging="1080"/>
      </w:pPr>
    </w:lvl>
    <w:lvl w:ilvl="7">
      <w:start w:val="1"/>
      <w:numFmt w:val="decimal"/>
      <w:lvlText w:val="%1.%2.%3.%4.%5.%6.%7.%8."/>
      <w:lvlJc w:val="left"/>
      <w:pPr>
        <w:tabs>
          <w:tab w:val="num" w:pos="6840"/>
        </w:tabs>
        <w:ind w:left="3744" w:hanging="1224"/>
      </w:pPr>
    </w:lvl>
    <w:lvl w:ilvl="8">
      <w:start w:val="1"/>
      <w:numFmt w:val="decimal"/>
      <w:lvlText w:val="%1.%2.%3.%4.%5.%6.%7.%8.%9."/>
      <w:lvlJc w:val="left"/>
      <w:pPr>
        <w:tabs>
          <w:tab w:val="num" w:pos="7920"/>
        </w:tabs>
        <w:ind w:left="4320" w:hanging="1440"/>
      </w:pPr>
    </w:lvl>
  </w:abstractNum>
  <w:num w:numId="1">
    <w:abstractNumId w:val="1"/>
  </w:num>
  <w:num w:numId="2">
    <w:abstractNumId w:val="2"/>
  </w:num>
  <w:num w:numId="3">
    <w:abstractNumId w:val="1"/>
  </w:num>
  <w:num w:numId="4">
    <w:abstractNumId w:val="1"/>
  </w:num>
  <w:num w:numId="5">
    <w:abstractNumId w:val="1"/>
  </w:num>
  <w:num w:numId="6">
    <w:abstractNumId w:val="0"/>
    <w:lvlOverride w:ilvl="0">
      <w:lvl w:ilvl="0">
        <w:numFmt w:val="bullet"/>
        <w:lvlText w:val=""/>
        <w:legacy w:legacy="1" w:legacySpace="0" w:legacyIndent="0"/>
        <w:lvlJc w:val="left"/>
        <w:rPr>
          <w:rFonts w:ascii="Symbol" w:hAnsi="Symbol" w:hint="default"/>
          <w:sz w:val="22"/>
        </w:rPr>
      </w:lvl>
    </w:lvlOverride>
  </w:num>
  <w:num w:numId="7">
    <w:abstractNumId w:val="3"/>
  </w:num>
  <w:num w:numId="8">
    <w:abstractNumId w:val="4"/>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58"/>
    <w:rsid w:val="000856AC"/>
    <w:rsid w:val="000D46CC"/>
    <w:rsid w:val="00101CD2"/>
    <w:rsid w:val="00122A9E"/>
    <w:rsid w:val="00131D36"/>
    <w:rsid w:val="00143F40"/>
    <w:rsid w:val="00177CDC"/>
    <w:rsid w:val="00201369"/>
    <w:rsid w:val="00221D7D"/>
    <w:rsid w:val="00221EE4"/>
    <w:rsid w:val="002826D0"/>
    <w:rsid w:val="002A373B"/>
    <w:rsid w:val="002A488E"/>
    <w:rsid w:val="002E78BE"/>
    <w:rsid w:val="00307275"/>
    <w:rsid w:val="003323AE"/>
    <w:rsid w:val="0039327E"/>
    <w:rsid w:val="003A7826"/>
    <w:rsid w:val="003B7DE3"/>
    <w:rsid w:val="00415357"/>
    <w:rsid w:val="00417483"/>
    <w:rsid w:val="00491311"/>
    <w:rsid w:val="004949FE"/>
    <w:rsid w:val="004A09D6"/>
    <w:rsid w:val="00542D2E"/>
    <w:rsid w:val="00547719"/>
    <w:rsid w:val="00591CC4"/>
    <w:rsid w:val="005A37EE"/>
    <w:rsid w:val="005D1607"/>
    <w:rsid w:val="006047B4"/>
    <w:rsid w:val="0060775F"/>
    <w:rsid w:val="006B70B4"/>
    <w:rsid w:val="00734C50"/>
    <w:rsid w:val="0074556E"/>
    <w:rsid w:val="00782778"/>
    <w:rsid w:val="007F4C6B"/>
    <w:rsid w:val="008273D0"/>
    <w:rsid w:val="00865232"/>
    <w:rsid w:val="00866CEF"/>
    <w:rsid w:val="0087410B"/>
    <w:rsid w:val="00893B17"/>
    <w:rsid w:val="008B0E64"/>
    <w:rsid w:val="009474FF"/>
    <w:rsid w:val="00947E09"/>
    <w:rsid w:val="009873B8"/>
    <w:rsid w:val="00993B68"/>
    <w:rsid w:val="009A6CB4"/>
    <w:rsid w:val="009B4346"/>
    <w:rsid w:val="009F7101"/>
    <w:rsid w:val="00A00AE5"/>
    <w:rsid w:val="00A16358"/>
    <w:rsid w:val="00A50B2A"/>
    <w:rsid w:val="00AB319E"/>
    <w:rsid w:val="00AD7A7B"/>
    <w:rsid w:val="00AF0601"/>
    <w:rsid w:val="00B067AD"/>
    <w:rsid w:val="00B14F72"/>
    <w:rsid w:val="00BA1F4A"/>
    <w:rsid w:val="00BA60D5"/>
    <w:rsid w:val="00C16EA3"/>
    <w:rsid w:val="00C43F6B"/>
    <w:rsid w:val="00C5073F"/>
    <w:rsid w:val="00C71758"/>
    <w:rsid w:val="00C72B4F"/>
    <w:rsid w:val="00C951AC"/>
    <w:rsid w:val="00CB3007"/>
    <w:rsid w:val="00CD2321"/>
    <w:rsid w:val="00CE54F6"/>
    <w:rsid w:val="00D27709"/>
    <w:rsid w:val="00D571A5"/>
    <w:rsid w:val="00D606F0"/>
    <w:rsid w:val="00D85953"/>
    <w:rsid w:val="00D95929"/>
    <w:rsid w:val="00DB0833"/>
    <w:rsid w:val="00E167F0"/>
    <w:rsid w:val="00E55CCC"/>
    <w:rsid w:val="00E612FC"/>
    <w:rsid w:val="00ED22F8"/>
    <w:rsid w:val="00F116DF"/>
    <w:rsid w:val="00F417CA"/>
    <w:rsid w:val="00F50CA9"/>
    <w:rsid w:val="00F52884"/>
    <w:rsid w:val="00F77DFB"/>
    <w:rsid w:val="00FE2F61"/>
    <w:rsid w:val="00FE435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202B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A12A1"/>
    <w:pPr>
      <w:widowControl w:val="0"/>
      <w:spacing w:after="0" w:line="240" w:lineRule="auto"/>
    </w:pPr>
    <w:rPr>
      <w:rFonts w:ascii="LindeDaxOffice" w:eastAsiaTheme="minorEastAsia" w:hAnsi="LindeDaxOffice"/>
      <w:kern w:val="2"/>
      <w:sz w:val="24"/>
      <w:lang w:eastAsia="zh-TW"/>
    </w:rPr>
  </w:style>
  <w:style w:type="paragraph" w:styleId="Heading1">
    <w:name w:val="heading 1"/>
    <w:basedOn w:val="Normal"/>
    <w:next w:val="Normal"/>
    <w:link w:val="Heading1Char"/>
    <w:uiPriority w:val="9"/>
    <w:qFormat/>
    <w:rsid w:val="008D2BD5"/>
    <w:pPr>
      <w:keepNext/>
      <w:keepLines/>
      <w:widowControl/>
      <w:spacing w:before="480" w:line="276" w:lineRule="auto"/>
      <w:outlineLvl w:val="0"/>
    </w:pPr>
    <w:rPr>
      <w:rFonts w:asciiTheme="majorHAnsi" w:eastAsiaTheme="majorEastAsia" w:hAnsiTheme="majorHAnsi" w:cstheme="majorBidi"/>
      <w:b/>
      <w:bCs/>
      <w:color w:val="365F91" w:themeColor="accent1" w:themeShade="BF"/>
      <w:kern w:val="0"/>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next w:val="Answer"/>
    <w:link w:val="QuestionChar"/>
    <w:qFormat/>
    <w:rsid w:val="006D1029"/>
    <w:pPr>
      <w:numPr>
        <w:numId w:val="2"/>
      </w:numPr>
      <w:ind w:left="360"/>
    </w:pPr>
    <w:rPr>
      <w:b/>
    </w:rPr>
  </w:style>
  <w:style w:type="character" w:customStyle="1" w:styleId="QuestionChar">
    <w:name w:val="Question Char"/>
    <w:basedOn w:val="DefaultParagraphFont"/>
    <w:link w:val="Question"/>
    <w:rsid w:val="006D1029"/>
    <w:rPr>
      <w:rFonts w:ascii="LindeDaxOffice" w:hAnsi="LindeDaxOffice"/>
      <w:b/>
      <w:sz w:val="24"/>
    </w:rPr>
  </w:style>
  <w:style w:type="paragraph" w:customStyle="1" w:styleId="Answer">
    <w:name w:val="Answer"/>
    <w:basedOn w:val="Question"/>
    <w:next w:val="Question"/>
    <w:link w:val="AnswerChar"/>
    <w:qFormat/>
    <w:rsid w:val="006D1029"/>
    <w:pPr>
      <w:numPr>
        <w:numId w:val="3"/>
      </w:numPr>
    </w:pPr>
  </w:style>
  <w:style w:type="character" w:customStyle="1" w:styleId="AnswerChar">
    <w:name w:val="Answer Char"/>
    <w:basedOn w:val="QuestionChar"/>
    <w:link w:val="Answer"/>
    <w:rsid w:val="006D1029"/>
    <w:rPr>
      <w:rFonts w:ascii="LindeDaxOffice" w:hAnsi="LindeDaxOffice"/>
      <w:b/>
      <w:sz w:val="24"/>
    </w:rPr>
  </w:style>
  <w:style w:type="paragraph" w:styleId="Header">
    <w:name w:val="header"/>
    <w:basedOn w:val="Normal"/>
    <w:link w:val="HeaderChar"/>
    <w:uiPriority w:val="99"/>
    <w:unhideWhenUsed/>
    <w:rsid w:val="00173954"/>
    <w:pPr>
      <w:tabs>
        <w:tab w:val="center" w:pos="4680"/>
        <w:tab w:val="right" w:pos="9360"/>
      </w:tabs>
    </w:pPr>
  </w:style>
  <w:style w:type="character" w:customStyle="1" w:styleId="HeaderChar">
    <w:name w:val="Header Char"/>
    <w:basedOn w:val="DefaultParagraphFont"/>
    <w:link w:val="Header"/>
    <w:uiPriority w:val="99"/>
    <w:rsid w:val="00173954"/>
  </w:style>
  <w:style w:type="paragraph" w:styleId="Footer">
    <w:name w:val="footer"/>
    <w:basedOn w:val="Normal"/>
    <w:link w:val="FooterChar"/>
    <w:uiPriority w:val="99"/>
    <w:unhideWhenUsed/>
    <w:rsid w:val="00173954"/>
    <w:pPr>
      <w:tabs>
        <w:tab w:val="center" w:pos="4680"/>
        <w:tab w:val="right" w:pos="9360"/>
      </w:tabs>
    </w:pPr>
  </w:style>
  <w:style w:type="character" w:customStyle="1" w:styleId="FooterChar">
    <w:name w:val="Footer Char"/>
    <w:basedOn w:val="DefaultParagraphFont"/>
    <w:link w:val="Footer"/>
    <w:uiPriority w:val="99"/>
    <w:rsid w:val="00173954"/>
  </w:style>
  <w:style w:type="paragraph" w:styleId="BalloonText">
    <w:name w:val="Balloon Text"/>
    <w:basedOn w:val="Normal"/>
    <w:link w:val="BalloonTextChar"/>
    <w:uiPriority w:val="99"/>
    <w:semiHidden/>
    <w:unhideWhenUsed/>
    <w:rsid w:val="00173954"/>
    <w:rPr>
      <w:rFonts w:ascii="Tahoma" w:hAnsi="Tahoma" w:cs="Tahoma"/>
      <w:sz w:val="16"/>
      <w:szCs w:val="16"/>
    </w:rPr>
  </w:style>
  <w:style w:type="character" w:customStyle="1" w:styleId="BalloonTextChar">
    <w:name w:val="Balloon Text Char"/>
    <w:basedOn w:val="DefaultParagraphFont"/>
    <w:link w:val="BalloonText"/>
    <w:uiPriority w:val="99"/>
    <w:semiHidden/>
    <w:rsid w:val="00173954"/>
    <w:rPr>
      <w:rFonts w:ascii="Tahoma" w:hAnsi="Tahoma" w:cs="Tahoma"/>
      <w:sz w:val="16"/>
      <w:szCs w:val="16"/>
    </w:rPr>
  </w:style>
  <w:style w:type="character" w:styleId="Hyperlink">
    <w:name w:val="Hyperlink"/>
    <w:basedOn w:val="DefaultParagraphFont"/>
    <w:uiPriority w:val="99"/>
    <w:unhideWhenUsed/>
    <w:rsid w:val="00FD1B60"/>
    <w:rPr>
      <w:color w:val="0000FF" w:themeColor="hyperlink"/>
      <w:u w:val="single"/>
    </w:rPr>
  </w:style>
  <w:style w:type="paragraph" w:styleId="ListParagraph">
    <w:name w:val="List Paragraph"/>
    <w:basedOn w:val="Normal"/>
    <w:uiPriority w:val="34"/>
    <w:qFormat/>
    <w:rsid w:val="00E73E07"/>
    <w:pPr>
      <w:ind w:left="720"/>
      <w:contextualSpacing/>
    </w:pPr>
  </w:style>
  <w:style w:type="paragraph" w:styleId="BodyText3">
    <w:name w:val="Body Text 3"/>
    <w:basedOn w:val="Normal"/>
    <w:link w:val="BodyText3Char"/>
    <w:rsid w:val="00EB222F"/>
    <w:pPr>
      <w:widowControl/>
      <w:spacing w:after="120" w:line="360" w:lineRule="atLeast"/>
    </w:pPr>
    <w:rPr>
      <w:rFonts w:eastAsia="Times New Roman" w:cs="Angsana New"/>
      <w:kern w:val="0"/>
      <w:sz w:val="16"/>
      <w:szCs w:val="16"/>
      <w:lang w:val="de-DE" w:eastAsia="de-DE"/>
    </w:rPr>
  </w:style>
  <w:style w:type="character" w:customStyle="1" w:styleId="BodyText3Char">
    <w:name w:val="Body Text 3 Char"/>
    <w:basedOn w:val="DefaultParagraphFont"/>
    <w:link w:val="BodyText3"/>
    <w:rsid w:val="00EB222F"/>
    <w:rPr>
      <w:rFonts w:ascii="LindeDaxOffice" w:eastAsia="Times New Roman" w:hAnsi="LindeDaxOffice" w:cs="Angsana New"/>
      <w:sz w:val="16"/>
      <w:szCs w:val="16"/>
      <w:lang w:val="de-DE" w:eastAsia="de-DE"/>
    </w:rPr>
  </w:style>
  <w:style w:type="character" w:customStyle="1" w:styleId="Heading1Char">
    <w:name w:val="Heading 1 Char"/>
    <w:basedOn w:val="DefaultParagraphFont"/>
    <w:link w:val="Heading1"/>
    <w:uiPriority w:val="9"/>
    <w:rsid w:val="008D2BD5"/>
    <w:rPr>
      <w:rFonts w:asciiTheme="majorHAnsi" w:eastAsiaTheme="majorEastAsia" w:hAnsiTheme="majorHAnsi" w:cstheme="majorBidi"/>
      <w:b/>
      <w:bCs/>
      <w:color w:val="365F91" w:themeColor="accent1" w:themeShade="BF"/>
      <w:sz w:val="28"/>
      <w:szCs w:val="28"/>
    </w:rPr>
  </w:style>
  <w:style w:type="character" w:styleId="CommentReference">
    <w:name w:val="annotation reference"/>
    <w:basedOn w:val="DefaultParagraphFont"/>
    <w:uiPriority w:val="99"/>
    <w:semiHidden/>
    <w:unhideWhenUsed/>
    <w:rsid w:val="00BB1C58"/>
    <w:rPr>
      <w:sz w:val="16"/>
      <w:szCs w:val="16"/>
    </w:rPr>
  </w:style>
  <w:style w:type="paragraph" w:styleId="CommentText">
    <w:name w:val="annotation text"/>
    <w:basedOn w:val="Normal"/>
    <w:link w:val="CommentTextChar"/>
    <w:uiPriority w:val="99"/>
    <w:semiHidden/>
    <w:unhideWhenUsed/>
    <w:rsid w:val="00BB1C58"/>
    <w:rPr>
      <w:sz w:val="20"/>
      <w:szCs w:val="20"/>
    </w:rPr>
  </w:style>
  <w:style w:type="character" w:customStyle="1" w:styleId="CommentTextChar">
    <w:name w:val="Comment Text Char"/>
    <w:basedOn w:val="DefaultParagraphFont"/>
    <w:link w:val="CommentText"/>
    <w:uiPriority w:val="99"/>
    <w:semiHidden/>
    <w:rsid w:val="00BB1C58"/>
    <w:rPr>
      <w:rFonts w:ascii="LindeDaxOffice" w:eastAsiaTheme="minorEastAsia" w:hAnsi="LindeDaxOffice"/>
      <w:kern w:val="2"/>
      <w:sz w:val="20"/>
      <w:szCs w:val="20"/>
      <w:lang w:eastAsia="zh-TW"/>
    </w:rPr>
  </w:style>
  <w:style w:type="paragraph" w:styleId="CommentSubject">
    <w:name w:val="annotation subject"/>
    <w:basedOn w:val="CommentText"/>
    <w:next w:val="CommentText"/>
    <w:link w:val="CommentSubjectChar"/>
    <w:uiPriority w:val="99"/>
    <w:semiHidden/>
    <w:unhideWhenUsed/>
    <w:rsid w:val="00BB1C58"/>
    <w:rPr>
      <w:b/>
      <w:bCs/>
    </w:rPr>
  </w:style>
  <w:style w:type="character" w:customStyle="1" w:styleId="CommentSubjectChar">
    <w:name w:val="Comment Subject Char"/>
    <w:basedOn w:val="CommentTextChar"/>
    <w:link w:val="CommentSubject"/>
    <w:uiPriority w:val="99"/>
    <w:semiHidden/>
    <w:rsid w:val="00BB1C58"/>
    <w:rPr>
      <w:rFonts w:ascii="LindeDaxOffice" w:eastAsiaTheme="minorEastAsia" w:hAnsi="LindeDaxOffice"/>
      <w:b/>
      <w:bCs/>
      <w:kern w:val="2"/>
      <w:sz w:val="20"/>
      <w:szCs w:val="20"/>
      <w:lang w:eastAsia="zh-TW"/>
    </w:rPr>
  </w:style>
  <w:style w:type="paragraph" w:styleId="Revision">
    <w:name w:val="Revision"/>
    <w:hidden/>
    <w:uiPriority w:val="99"/>
    <w:semiHidden/>
    <w:rsid w:val="00D16258"/>
    <w:pPr>
      <w:spacing w:after="0" w:line="240" w:lineRule="auto"/>
    </w:pPr>
    <w:rPr>
      <w:rFonts w:ascii="LindeDaxOffice" w:eastAsiaTheme="minorEastAsia" w:hAnsi="LindeDaxOffice"/>
      <w:kern w:val="2"/>
      <w:sz w:val="24"/>
      <w:lang w:eastAsia="zh-TW"/>
    </w:rPr>
  </w:style>
  <w:style w:type="paragraph" w:styleId="NormalWeb">
    <w:name w:val="Normal (Web)"/>
    <w:basedOn w:val="Normal"/>
    <w:uiPriority w:val="99"/>
    <w:semiHidden/>
    <w:unhideWhenUsed/>
    <w:rsid w:val="00640A91"/>
    <w:pPr>
      <w:widowControl/>
      <w:spacing w:before="100" w:beforeAutospacing="1" w:after="100" w:afterAutospacing="1"/>
    </w:pPr>
    <w:rPr>
      <w:rFonts w:ascii="Times New Roman" w:eastAsia="Times New Roman" w:hAnsi="Times New Roman" w:cs="Times New Roman"/>
      <w:kern w:val="0"/>
      <w:szCs w:val="24"/>
      <w:lang w:val="de-DE" w:eastAsia="de-DE"/>
    </w:rPr>
  </w:style>
  <w:style w:type="character" w:customStyle="1" w:styleId="apple-converted-space">
    <w:name w:val="apple-converted-space"/>
    <w:basedOn w:val="DefaultParagraphFont"/>
    <w:rsid w:val="00640A91"/>
  </w:style>
  <w:style w:type="table" w:styleId="TableGrid">
    <w:name w:val="Table Grid"/>
    <w:basedOn w:val="TableNormal"/>
    <w:uiPriority w:val="59"/>
    <w:rsid w:val="00DB08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linde.com" TargetMode="External"/><Relationship Id="rId9" Type="http://schemas.openxmlformats.org/officeDocument/2006/relationships/hyperlink" Target="mailto:thomas.hagn@linde.com" TargetMode="Externa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04FD1-B830-4A40-8629-BB15410F8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502</Words>
  <Characters>2863</Characters>
  <Application>Microsoft Macintosh Word</Application>
  <DocSecurity>0</DocSecurity>
  <Lines>23</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Linde Group</Company>
  <LinksUpToDate>false</LinksUpToDate>
  <CharactersWithSpaces>3359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Hagn</dc:creator>
  <cp:lastModifiedBy>Priscilla Moroke</cp:lastModifiedBy>
  <cp:revision>2</cp:revision>
  <cp:lastPrinted>2017-05-09T07:37:00Z</cp:lastPrinted>
  <dcterms:created xsi:type="dcterms:W3CDTF">2017-05-15T08:44:00Z</dcterms:created>
  <dcterms:modified xsi:type="dcterms:W3CDTF">2017-05-15T08:44:00Z</dcterms:modified>
</cp:coreProperties>
</file>