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9B066" w14:textId="77777777" w:rsidR="00C91CA5" w:rsidRPr="00C91CA5" w:rsidRDefault="00A51A60" w:rsidP="00891354">
      <w:pPr>
        <w:spacing w:after="0" w:line="240" w:lineRule="auto"/>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 xml:space="preserve">Feb. </w:t>
      </w:r>
      <w:r w:rsidR="00891354">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2017 </w:t>
      </w:r>
    </w:p>
    <w:p w14:paraId="5B50E855" w14:textId="77777777" w:rsidR="00C91CA5" w:rsidRPr="00C91CA5" w:rsidRDefault="00C91CA5" w:rsidP="00C91CA5">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91CA5">
        <w:rPr>
          <w:rFonts w:ascii="Times New Roman" w:eastAsia="Times New Roman" w:hAnsi="Times New Roman" w:cs="Times New Roman"/>
          <w:b/>
          <w:bCs/>
          <w:kern w:val="36"/>
          <w:sz w:val="48"/>
          <w:szCs w:val="48"/>
        </w:rPr>
        <w:t xml:space="preserve">Fluor Selected for Bauxite Mining Project in Guinea </w:t>
      </w:r>
    </w:p>
    <w:p w14:paraId="49EDF652" w14:textId="77777777" w:rsidR="00C91CA5" w:rsidRPr="00C91CA5" w:rsidRDefault="00C91CA5" w:rsidP="00C91CA5">
      <w:pPr>
        <w:spacing w:before="100" w:beforeAutospacing="1" w:after="100" w:afterAutospacing="1" w:line="240" w:lineRule="auto"/>
        <w:rPr>
          <w:rFonts w:ascii="Times New Roman" w:eastAsia="Times New Roman" w:hAnsi="Times New Roman" w:cs="Times New Roman"/>
          <w:sz w:val="24"/>
          <w:szCs w:val="24"/>
        </w:rPr>
      </w:pPr>
      <w:r w:rsidRPr="00C91CA5">
        <w:rPr>
          <w:rFonts w:ascii="Times New Roman" w:eastAsia="Times New Roman" w:hAnsi="Times New Roman" w:cs="Times New Roman"/>
          <w:sz w:val="24"/>
          <w:szCs w:val="24"/>
        </w:rPr>
        <w:t>IRVING, Texas--(</w:t>
      </w:r>
      <w:hyperlink r:id="rId4" w:history="1">
        <w:r w:rsidRPr="00C91CA5">
          <w:rPr>
            <w:rFonts w:ascii="Times New Roman" w:eastAsia="Times New Roman" w:hAnsi="Times New Roman" w:cs="Times New Roman"/>
            <w:color w:val="0000FF"/>
            <w:sz w:val="24"/>
            <w:szCs w:val="24"/>
            <w:u w:val="single"/>
          </w:rPr>
          <w:t>BUSINESS WIRE</w:t>
        </w:r>
      </w:hyperlink>
      <w:r w:rsidR="00A51A60">
        <w:rPr>
          <w:rFonts w:ascii="Times New Roman" w:eastAsia="Times New Roman" w:hAnsi="Times New Roman" w:cs="Times New Roman"/>
          <w:color w:val="0000FF"/>
          <w:sz w:val="24"/>
          <w:szCs w:val="24"/>
          <w:u w:val="single"/>
        </w:rPr>
        <w:t>/</w:t>
      </w:r>
      <w:hyperlink r:id="rId5" w:history="1">
        <w:r w:rsidR="00A51A60" w:rsidRPr="00AC4C5A">
          <w:rPr>
            <w:rStyle w:val="Hyperlink"/>
            <w:rFonts w:asciiTheme="majorBidi" w:hAnsiTheme="majorBidi" w:cstheme="majorBidi"/>
          </w:rPr>
          <w:t>ME NewsWire</w:t>
        </w:r>
      </w:hyperlink>
      <w:r w:rsidRPr="00C91CA5">
        <w:rPr>
          <w:rFonts w:ascii="Times New Roman" w:eastAsia="Times New Roman" w:hAnsi="Times New Roman" w:cs="Times New Roman"/>
          <w:sz w:val="24"/>
          <w:szCs w:val="24"/>
        </w:rPr>
        <w:t xml:space="preserve">)-- </w:t>
      </w:r>
      <w:hyperlink r:id="rId6" w:history="1">
        <w:r w:rsidRPr="00C91CA5">
          <w:rPr>
            <w:rFonts w:ascii="Times New Roman" w:eastAsia="Times New Roman" w:hAnsi="Times New Roman" w:cs="Times New Roman"/>
            <w:color w:val="0000FF"/>
            <w:sz w:val="24"/>
            <w:szCs w:val="24"/>
            <w:u w:val="single"/>
          </w:rPr>
          <w:t>Fluor Corporation</w:t>
        </w:r>
      </w:hyperlink>
      <w:r w:rsidRPr="00C91CA5">
        <w:rPr>
          <w:rFonts w:ascii="Times New Roman" w:eastAsia="Times New Roman" w:hAnsi="Times New Roman" w:cs="Times New Roman"/>
          <w:sz w:val="24"/>
          <w:szCs w:val="24"/>
        </w:rPr>
        <w:t xml:space="preserve"> (NYSE: FLR) announced today that Guinea Alumina Corporation S.A. (GAC) has awarded Fluor an engineering and program management consultancy contract for a major bauxite mine in the Boké region of Guinea, Africa. Fluor booked the approximately $700 million contract value into backlog in the fourth quarter of 2016. </w:t>
      </w:r>
    </w:p>
    <w:p w14:paraId="490F81C7" w14:textId="77777777" w:rsidR="00C91CA5" w:rsidRPr="00C91CA5" w:rsidRDefault="00C91CA5" w:rsidP="00C91CA5">
      <w:pPr>
        <w:spacing w:before="100" w:beforeAutospacing="1" w:after="100" w:afterAutospacing="1" w:line="240" w:lineRule="auto"/>
        <w:rPr>
          <w:rFonts w:ascii="Times New Roman" w:eastAsia="Times New Roman" w:hAnsi="Times New Roman" w:cs="Times New Roman"/>
          <w:sz w:val="24"/>
          <w:szCs w:val="24"/>
        </w:rPr>
      </w:pPr>
      <w:r w:rsidRPr="00C91CA5">
        <w:rPr>
          <w:rFonts w:ascii="Times New Roman" w:eastAsia="Times New Roman" w:hAnsi="Times New Roman" w:cs="Times New Roman"/>
          <w:sz w:val="24"/>
          <w:szCs w:val="24"/>
        </w:rPr>
        <w:t xml:space="preserve">Working alongside GAC, Fluor will manage the development of a 12 million-tonne-per-annum bauxite mine, a dedicated export terminal in Port Kamsar and rail and other infrastructure upgrades. The mine, which is scheduled to begin production in 2018, will supply high-quality raw materials for alumina production facilities globally. Fluor successfully completed the feasibility study for GAC in the second quarter of 2016. </w:t>
      </w:r>
    </w:p>
    <w:p w14:paraId="72F28EE6" w14:textId="77777777" w:rsidR="00C91CA5" w:rsidRPr="00C91CA5" w:rsidRDefault="00C91CA5" w:rsidP="00C91CA5">
      <w:pPr>
        <w:spacing w:before="100" w:beforeAutospacing="1" w:after="100" w:afterAutospacing="1" w:line="240" w:lineRule="auto"/>
        <w:rPr>
          <w:rFonts w:ascii="Times New Roman" w:eastAsia="Times New Roman" w:hAnsi="Times New Roman" w:cs="Times New Roman"/>
          <w:sz w:val="24"/>
          <w:szCs w:val="24"/>
        </w:rPr>
      </w:pPr>
      <w:r w:rsidRPr="00C91CA5">
        <w:rPr>
          <w:rFonts w:ascii="Times New Roman" w:eastAsia="Times New Roman" w:hAnsi="Times New Roman" w:cs="Times New Roman"/>
          <w:sz w:val="24"/>
          <w:szCs w:val="24"/>
        </w:rPr>
        <w:t xml:space="preserve">“Fluor has worked with GAC since the preliminary phase of the project to develop a customized, capital-efficient design to meet the company’s unique business objectives,” said </w:t>
      </w:r>
      <w:hyperlink r:id="rId7" w:history="1">
        <w:r w:rsidRPr="00C91CA5">
          <w:rPr>
            <w:rFonts w:ascii="Times New Roman" w:eastAsia="Times New Roman" w:hAnsi="Times New Roman" w:cs="Times New Roman"/>
            <w:color w:val="0000FF"/>
            <w:sz w:val="24"/>
            <w:szCs w:val="24"/>
            <w:u w:val="single"/>
          </w:rPr>
          <w:t>Rick Koumouris</w:t>
        </w:r>
      </w:hyperlink>
      <w:r w:rsidRPr="00C91CA5">
        <w:rPr>
          <w:rFonts w:ascii="Times New Roman" w:eastAsia="Times New Roman" w:hAnsi="Times New Roman" w:cs="Times New Roman"/>
          <w:sz w:val="24"/>
          <w:szCs w:val="24"/>
        </w:rPr>
        <w:t xml:space="preserve">, president of Fluor’s Mining &amp; Metals business. “We will leverage our global expertise in marine structures, port terminals and mineral processing along with our experience in Guinea to deliver innovative design and project execution solutions that improve capital efficiency.” </w:t>
      </w:r>
    </w:p>
    <w:p w14:paraId="5E610510" w14:textId="77777777" w:rsidR="00C91CA5" w:rsidRPr="00C91CA5" w:rsidRDefault="00C91CA5" w:rsidP="00C91CA5">
      <w:pPr>
        <w:spacing w:before="100" w:beforeAutospacing="1" w:after="100" w:afterAutospacing="1" w:line="240" w:lineRule="auto"/>
        <w:rPr>
          <w:rFonts w:ascii="Times New Roman" w:eastAsia="Times New Roman" w:hAnsi="Times New Roman" w:cs="Times New Roman"/>
          <w:sz w:val="24"/>
          <w:szCs w:val="24"/>
        </w:rPr>
      </w:pPr>
      <w:r w:rsidRPr="00C91CA5">
        <w:rPr>
          <w:rFonts w:ascii="Times New Roman" w:eastAsia="Times New Roman" w:hAnsi="Times New Roman" w:cs="Times New Roman"/>
          <w:sz w:val="24"/>
          <w:szCs w:val="24"/>
        </w:rPr>
        <w:t xml:space="preserve">“Guinea Alumina Corporation, a key investment for Emirates Global Aluminium, will drive significant local growth within Guinea and secure Emirates Global Aluminium’s position upstream in the aluminium chain," said Abdulla Kalban, managing director and chief executive officer of Emirates Global Aluminium, which owns GAC. "We look forward to our continued relationship with Fluor to ensure further cost optimization and ultimately a safe and successful project.” </w:t>
      </w:r>
    </w:p>
    <w:p w14:paraId="4B0C2C3A" w14:textId="77777777" w:rsidR="00C91CA5" w:rsidRPr="00C91CA5" w:rsidRDefault="00C91CA5" w:rsidP="00C91CA5">
      <w:pPr>
        <w:spacing w:before="100" w:beforeAutospacing="1" w:after="100" w:afterAutospacing="1" w:line="240" w:lineRule="auto"/>
        <w:rPr>
          <w:rFonts w:ascii="Times New Roman" w:eastAsia="Times New Roman" w:hAnsi="Times New Roman" w:cs="Times New Roman"/>
          <w:sz w:val="24"/>
          <w:szCs w:val="24"/>
        </w:rPr>
      </w:pPr>
      <w:r w:rsidRPr="00C91CA5">
        <w:rPr>
          <w:rFonts w:ascii="Times New Roman" w:eastAsia="Times New Roman" w:hAnsi="Times New Roman" w:cs="Times New Roman"/>
          <w:sz w:val="24"/>
          <w:szCs w:val="24"/>
        </w:rPr>
        <w:t xml:space="preserve">GAC is a wholly-owned subsidiary of Emirates Global Aluminium, which is equally owned by Mubadala Development Company and Investment Corporation of Dubai. The project serves as Emirates Global Aluminium’s entry into the global bauxite market. </w:t>
      </w:r>
    </w:p>
    <w:p w14:paraId="2D0978C0" w14:textId="77777777" w:rsidR="00C91CA5" w:rsidRPr="00C91CA5" w:rsidRDefault="00C91CA5" w:rsidP="00C91CA5">
      <w:pPr>
        <w:spacing w:before="100" w:beforeAutospacing="1" w:after="100" w:afterAutospacing="1" w:line="240" w:lineRule="auto"/>
        <w:rPr>
          <w:rFonts w:ascii="Times New Roman" w:eastAsia="Times New Roman" w:hAnsi="Times New Roman" w:cs="Times New Roman"/>
          <w:sz w:val="24"/>
          <w:szCs w:val="24"/>
        </w:rPr>
      </w:pPr>
      <w:r w:rsidRPr="00C91CA5">
        <w:rPr>
          <w:rFonts w:ascii="Times New Roman" w:eastAsia="Times New Roman" w:hAnsi="Times New Roman" w:cs="Times New Roman"/>
          <w:b/>
          <w:bCs/>
          <w:sz w:val="24"/>
          <w:szCs w:val="24"/>
        </w:rPr>
        <w:t>About Fluor Corporation</w:t>
      </w:r>
      <w:r w:rsidRPr="00C91CA5">
        <w:rPr>
          <w:rFonts w:ascii="Times New Roman" w:eastAsia="Times New Roman" w:hAnsi="Times New Roman" w:cs="Times New Roman"/>
          <w:sz w:val="24"/>
          <w:szCs w:val="24"/>
        </w:rPr>
        <w:t xml:space="preserve"> </w:t>
      </w:r>
    </w:p>
    <w:p w14:paraId="5F6A22C2" w14:textId="77777777" w:rsidR="00C91CA5" w:rsidRDefault="00667969" w:rsidP="00C91CA5">
      <w:pPr>
        <w:spacing w:before="100" w:beforeAutospacing="1" w:after="100" w:afterAutospacing="1" w:line="240" w:lineRule="auto"/>
        <w:rPr>
          <w:rFonts w:ascii="Times New Roman" w:eastAsia="Times New Roman" w:hAnsi="Times New Roman" w:cs="Times New Roman"/>
          <w:sz w:val="24"/>
          <w:szCs w:val="24"/>
        </w:rPr>
      </w:pPr>
      <w:hyperlink r:id="rId8" w:history="1">
        <w:r w:rsidR="00C91CA5" w:rsidRPr="00C91CA5">
          <w:rPr>
            <w:rFonts w:ascii="Times New Roman" w:eastAsia="Times New Roman" w:hAnsi="Times New Roman" w:cs="Times New Roman"/>
            <w:color w:val="0000FF"/>
            <w:sz w:val="24"/>
            <w:szCs w:val="24"/>
            <w:u w:val="single"/>
          </w:rPr>
          <w:t>Fluor Corporation</w:t>
        </w:r>
      </w:hyperlink>
      <w:r w:rsidR="00C91CA5" w:rsidRPr="00C91CA5">
        <w:rPr>
          <w:rFonts w:ascii="Times New Roman" w:eastAsia="Times New Roman" w:hAnsi="Times New Roman" w:cs="Times New Roman"/>
          <w:sz w:val="24"/>
          <w:szCs w:val="24"/>
        </w:rPr>
        <w:t xml:space="preserve"> (NYSE: FLR) is a global engineering, procurement, fabrication, construction and maintenance company that designs, builds and maintains capital-efficient facilities for its clients on six continents. For more than a century, Fluor has served our clients by delivering innovative and integrated solutions across the globe. With headquarters in Irving, Texas, Fluor ranks 155 on the </w:t>
      </w:r>
      <w:r w:rsidR="00C91CA5" w:rsidRPr="00C91CA5">
        <w:rPr>
          <w:rFonts w:ascii="Times New Roman" w:eastAsia="Times New Roman" w:hAnsi="Times New Roman" w:cs="Times New Roman"/>
          <w:i/>
          <w:iCs/>
          <w:sz w:val="24"/>
          <w:szCs w:val="24"/>
        </w:rPr>
        <w:t>FORTUNE 500</w:t>
      </w:r>
      <w:r w:rsidR="00C91CA5" w:rsidRPr="00C91CA5">
        <w:rPr>
          <w:rFonts w:ascii="Times New Roman" w:eastAsia="Times New Roman" w:hAnsi="Times New Roman" w:cs="Times New Roman"/>
          <w:sz w:val="24"/>
          <w:szCs w:val="24"/>
        </w:rPr>
        <w:t xml:space="preserve"> list with revenue of $18.1 billion in 2015 and has more than 60,000 employees worldwide. For more information, please visit </w:t>
      </w:r>
      <w:hyperlink r:id="rId9" w:history="1">
        <w:r w:rsidR="00C91CA5" w:rsidRPr="00C91CA5">
          <w:rPr>
            <w:rFonts w:ascii="Times New Roman" w:eastAsia="Times New Roman" w:hAnsi="Times New Roman" w:cs="Times New Roman"/>
            <w:color w:val="0000FF"/>
            <w:sz w:val="24"/>
            <w:szCs w:val="24"/>
            <w:u w:val="single"/>
          </w:rPr>
          <w:t>www.fluor.com</w:t>
        </w:r>
      </w:hyperlink>
      <w:r w:rsidR="00C91CA5" w:rsidRPr="00C91CA5">
        <w:rPr>
          <w:rFonts w:ascii="Times New Roman" w:eastAsia="Times New Roman" w:hAnsi="Times New Roman" w:cs="Times New Roman"/>
          <w:sz w:val="24"/>
          <w:szCs w:val="24"/>
        </w:rPr>
        <w:t xml:space="preserve"> or follow us on Twitter </w:t>
      </w:r>
      <w:hyperlink r:id="rId10" w:history="1">
        <w:r w:rsidR="00C91CA5" w:rsidRPr="00C91CA5">
          <w:rPr>
            <w:rFonts w:ascii="Times New Roman" w:eastAsia="Times New Roman" w:hAnsi="Times New Roman" w:cs="Times New Roman"/>
            <w:color w:val="0000FF"/>
            <w:sz w:val="24"/>
            <w:szCs w:val="24"/>
            <w:u w:val="single"/>
          </w:rPr>
          <w:t>@FluorCorp</w:t>
        </w:r>
      </w:hyperlink>
      <w:r w:rsidR="00C91CA5" w:rsidRPr="00C91CA5">
        <w:rPr>
          <w:rFonts w:ascii="Times New Roman" w:eastAsia="Times New Roman" w:hAnsi="Times New Roman" w:cs="Times New Roman"/>
          <w:sz w:val="24"/>
          <w:szCs w:val="24"/>
        </w:rPr>
        <w:t xml:space="preserve">. </w:t>
      </w:r>
    </w:p>
    <w:p w14:paraId="05C4517C" w14:textId="77777777" w:rsidR="00A51A60" w:rsidRPr="00AC4C5A" w:rsidRDefault="00A51A60" w:rsidP="00A51A60">
      <w:pPr>
        <w:tabs>
          <w:tab w:val="left" w:pos="2753"/>
        </w:tabs>
        <w:spacing w:before="100" w:beforeAutospacing="1" w:after="100" w:afterAutospacing="1"/>
        <w:rPr>
          <w:rFonts w:asciiTheme="majorBidi" w:hAnsiTheme="majorBidi" w:cstheme="majorBidi"/>
        </w:rPr>
      </w:pPr>
      <w:r w:rsidRPr="00AC4C5A">
        <w:rPr>
          <w:rFonts w:asciiTheme="majorBidi" w:hAnsiTheme="majorBidi" w:cstheme="majorBidi"/>
        </w:rPr>
        <w:lastRenderedPageBreak/>
        <w:t xml:space="preserve">*source: </w:t>
      </w:r>
      <w:hyperlink r:id="rId11" w:history="1">
        <w:r w:rsidRPr="00AC4C5A">
          <w:rPr>
            <w:rStyle w:val="Hyperlink"/>
            <w:rFonts w:asciiTheme="majorBidi" w:hAnsiTheme="majorBidi" w:cstheme="majorBidi"/>
          </w:rPr>
          <w:t>ME NewsWire</w:t>
        </w:r>
      </w:hyperlink>
    </w:p>
    <w:p w14:paraId="5776AFD4" w14:textId="77777777" w:rsidR="00C91CA5" w:rsidRPr="00C91CA5" w:rsidRDefault="00C91CA5" w:rsidP="00C91CA5">
      <w:pPr>
        <w:spacing w:before="100" w:beforeAutospacing="1" w:after="100" w:afterAutospacing="1" w:line="240" w:lineRule="auto"/>
        <w:outlineLvl w:val="1"/>
        <w:rPr>
          <w:rFonts w:ascii="Times New Roman" w:eastAsia="Times New Roman" w:hAnsi="Times New Roman" w:cs="Times New Roman"/>
          <w:b/>
          <w:bCs/>
          <w:sz w:val="36"/>
          <w:szCs w:val="36"/>
        </w:rPr>
      </w:pPr>
      <w:r w:rsidRPr="00C91CA5">
        <w:rPr>
          <w:rFonts w:ascii="Times New Roman" w:eastAsia="Times New Roman" w:hAnsi="Times New Roman" w:cs="Times New Roman"/>
          <w:b/>
          <w:bCs/>
          <w:sz w:val="36"/>
          <w:szCs w:val="36"/>
        </w:rPr>
        <w:t>Contacts</w:t>
      </w:r>
    </w:p>
    <w:p w14:paraId="7F44312D" w14:textId="77777777" w:rsidR="00C91CA5" w:rsidRPr="00C91CA5" w:rsidRDefault="00C91CA5" w:rsidP="00C91CA5">
      <w:pPr>
        <w:spacing w:before="100" w:beforeAutospacing="1" w:after="100" w:afterAutospacing="1" w:line="240" w:lineRule="auto"/>
        <w:rPr>
          <w:rFonts w:ascii="Times New Roman" w:eastAsia="Times New Roman" w:hAnsi="Times New Roman" w:cs="Times New Roman"/>
          <w:sz w:val="24"/>
          <w:szCs w:val="24"/>
        </w:rPr>
      </w:pPr>
      <w:r w:rsidRPr="00C91CA5">
        <w:rPr>
          <w:rFonts w:ascii="Times New Roman" w:eastAsia="Times New Roman" w:hAnsi="Times New Roman" w:cs="Times New Roman"/>
          <w:sz w:val="24"/>
          <w:szCs w:val="24"/>
        </w:rPr>
        <w:t>Fluor Corporation</w:t>
      </w:r>
      <w:r w:rsidRPr="00C91CA5">
        <w:rPr>
          <w:rFonts w:ascii="Times New Roman" w:eastAsia="Times New Roman" w:hAnsi="Times New Roman" w:cs="Times New Roman"/>
          <w:sz w:val="24"/>
          <w:szCs w:val="24"/>
        </w:rPr>
        <w:br/>
        <w:t>Media Relations</w:t>
      </w:r>
      <w:r w:rsidRPr="00C91CA5">
        <w:rPr>
          <w:rFonts w:ascii="Times New Roman" w:eastAsia="Times New Roman" w:hAnsi="Times New Roman" w:cs="Times New Roman"/>
          <w:sz w:val="24"/>
          <w:szCs w:val="24"/>
        </w:rPr>
        <w:br/>
        <w:t>Brian Mershon, 469-398-7621</w:t>
      </w:r>
      <w:r w:rsidRPr="00C91CA5">
        <w:rPr>
          <w:rFonts w:ascii="Times New Roman" w:eastAsia="Times New Roman" w:hAnsi="Times New Roman" w:cs="Times New Roman"/>
          <w:sz w:val="24"/>
          <w:szCs w:val="24"/>
        </w:rPr>
        <w:br/>
        <w:t>or</w:t>
      </w:r>
      <w:r w:rsidRPr="00C91CA5">
        <w:rPr>
          <w:rFonts w:ascii="Times New Roman" w:eastAsia="Times New Roman" w:hAnsi="Times New Roman" w:cs="Times New Roman"/>
          <w:sz w:val="24"/>
          <w:szCs w:val="24"/>
        </w:rPr>
        <w:br/>
        <w:t>Brett Turner, 864-281-6976</w:t>
      </w:r>
      <w:r w:rsidRPr="00C91CA5">
        <w:rPr>
          <w:rFonts w:ascii="Times New Roman" w:eastAsia="Times New Roman" w:hAnsi="Times New Roman" w:cs="Times New Roman"/>
          <w:sz w:val="24"/>
          <w:szCs w:val="24"/>
        </w:rPr>
        <w:br/>
        <w:t>or</w:t>
      </w:r>
      <w:r w:rsidRPr="00C91CA5">
        <w:rPr>
          <w:rFonts w:ascii="Times New Roman" w:eastAsia="Times New Roman" w:hAnsi="Times New Roman" w:cs="Times New Roman"/>
          <w:sz w:val="24"/>
          <w:szCs w:val="24"/>
        </w:rPr>
        <w:br/>
        <w:t>Investor Relations</w:t>
      </w:r>
      <w:r w:rsidRPr="00C91CA5">
        <w:rPr>
          <w:rFonts w:ascii="Times New Roman" w:eastAsia="Times New Roman" w:hAnsi="Times New Roman" w:cs="Times New Roman"/>
          <w:sz w:val="24"/>
          <w:szCs w:val="24"/>
        </w:rPr>
        <w:br/>
        <w:t>Geoff Telfer, 469-398-7070</w:t>
      </w:r>
      <w:r w:rsidRPr="00C91CA5">
        <w:rPr>
          <w:rFonts w:ascii="Times New Roman" w:eastAsia="Times New Roman" w:hAnsi="Times New Roman" w:cs="Times New Roman"/>
          <w:sz w:val="24"/>
          <w:szCs w:val="24"/>
        </w:rPr>
        <w:br/>
        <w:t>or</w:t>
      </w:r>
      <w:r w:rsidRPr="00C91CA5">
        <w:rPr>
          <w:rFonts w:ascii="Times New Roman" w:eastAsia="Times New Roman" w:hAnsi="Times New Roman" w:cs="Times New Roman"/>
          <w:sz w:val="24"/>
          <w:szCs w:val="24"/>
        </w:rPr>
        <w:br/>
        <w:t xml:space="preserve">Jason Landkamer, 469-398-7222 </w:t>
      </w:r>
    </w:p>
    <w:p w14:paraId="761F9164" w14:textId="77777777" w:rsidR="00C91CA5" w:rsidRPr="00C91CA5" w:rsidRDefault="00C91CA5" w:rsidP="00C91CA5">
      <w:pPr>
        <w:spacing w:after="0" w:line="240" w:lineRule="auto"/>
        <w:rPr>
          <w:rFonts w:ascii="Times New Roman" w:eastAsia="Times New Roman" w:hAnsi="Times New Roman" w:cs="Times New Roman"/>
          <w:sz w:val="24"/>
          <w:szCs w:val="24"/>
        </w:rPr>
      </w:pPr>
    </w:p>
    <w:p w14:paraId="3419A7E2" w14:textId="77777777" w:rsidR="00C91CA5" w:rsidRPr="00C91CA5" w:rsidRDefault="00A51A60" w:rsidP="00C91CA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74A5AFF" w14:textId="77777777" w:rsidR="000B077E" w:rsidRDefault="00667969"/>
    <w:sectPr w:rsidR="000B07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CA5"/>
    <w:rsid w:val="00635FD9"/>
    <w:rsid w:val="00667969"/>
    <w:rsid w:val="00891354"/>
    <w:rsid w:val="00A51A60"/>
    <w:rsid w:val="00BC65BC"/>
    <w:rsid w:val="00C91C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50B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91CA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91C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CA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91CA5"/>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C91CA5"/>
    <w:rPr>
      <w:color w:val="0000FF"/>
      <w:u w:val="single"/>
    </w:rPr>
  </w:style>
  <w:style w:type="paragraph" w:styleId="NormalWeb">
    <w:name w:val="Normal (Web)"/>
    <w:basedOn w:val="Normal"/>
    <w:uiPriority w:val="99"/>
    <w:semiHidden/>
    <w:unhideWhenUsed/>
    <w:rsid w:val="00C91C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wuline">
    <w:name w:val="bwuline"/>
    <w:basedOn w:val="DefaultParagraphFont"/>
    <w:rsid w:val="00C91CA5"/>
  </w:style>
  <w:style w:type="paragraph" w:styleId="BalloonText">
    <w:name w:val="Balloon Text"/>
    <w:basedOn w:val="Normal"/>
    <w:link w:val="BalloonTextChar"/>
    <w:uiPriority w:val="99"/>
    <w:semiHidden/>
    <w:unhideWhenUsed/>
    <w:rsid w:val="00C91C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C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1928868">
      <w:bodyDiv w:val="1"/>
      <w:marLeft w:val="0"/>
      <w:marRight w:val="0"/>
      <w:marTop w:val="0"/>
      <w:marBottom w:val="0"/>
      <w:divBdr>
        <w:top w:val="none" w:sz="0" w:space="0" w:color="auto"/>
        <w:left w:val="none" w:sz="0" w:space="0" w:color="auto"/>
        <w:bottom w:val="none" w:sz="0" w:space="0" w:color="auto"/>
        <w:right w:val="none" w:sz="0" w:space="0" w:color="auto"/>
      </w:divBdr>
      <w:divsChild>
        <w:div w:id="1230191660">
          <w:marLeft w:val="0"/>
          <w:marRight w:val="0"/>
          <w:marTop w:val="0"/>
          <w:marBottom w:val="0"/>
          <w:divBdr>
            <w:top w:val="none" w:sz="0" w:space="0" w:color="auto"/>
            <w:left w:val="none" w:sz="0" w:space="0" w:color="auto"/>
            <w:bottom w:val="none" w:sz="0" w:space="0" w:color="auto"/>
            <w:right w:val="none" w:sz="0" w:space="0" w:color="auto"/>
          </w:divBdr>
          <w:divsChild>
            <w:div w:id="1790707314">
              <w:marLeft w:val="0"/>
              <w:marRight w:val="0"/>
              <w:marTop w:val="0"/>
              <w:marBottom w:val="0"/>
              <w:divBdr>
                <w:top w:val="none" w:sz="0" w:space="0" w:color="auto"/>
                <w:left w:val="none" w:sz="0" w:space="0" w:color="auto"/>
                <w:bottom w:val="none" w:sz="0" w:space="0" w:color="auto"/>
                <w:right w:val="none" w:sz="0" w:space="0" w:color="auto"/>
              </w:divBdr>
              <w:divsChild>
                <w:div w:id="106311823">
                  <w:marLeft w:val="0"/>
                  <w:marRight w:val="0"/>
                  <w:marTop w:val="0"/>
                  <w:marBottom w:val="0"/>
                  <w:divBdr>
                    <w:top w:val="none" w:sz="0" w:space="0" w:color="auto"/>
                    <w:left w:val="none" w:sz="0" w:space="0" w:color="auto"/>
                    <w:bottom w:val="none" w:sz="0" w:space="0" w:color="auto"/>
                    <w:right w:val="none" w:sz="0" w:space="0" w:color="auto"/>
                  </w:divBdr>
                  <w:divsChild>
                    <w:div w:id="1400860524">
                      <w:marLeft w:val="0"/>
                      <w:marRight w:val="0"/>
                      <w:marTop w:val="0"/>
                      <w:marBottom w:val="0"/>
                      <w:divBdr>
                        <w:top w:val="none" w:sz="0" w:space="0" w:color="auto"/>
                        <w:left w:val="none" w:sz="0" w:space="0" w:color="auto"/>
                        <w:bottom w:val="none" w:sz="0" w:space="0" w:color="auto"/>
                        <w:right w:val="none" w:sz="0" w:space="0" w:color="auto"/>
                      </w:divBdr>
                    </w:div>
                    <w:div w:id="1860507857">
                      <w:marLeft w:val="0"/>
                      <w:marRight w:val="0"/>
                      <w:marTop w:val="0"/>
                      <w:marBottom w:val="0"/>
                      <w:divBdr>
                        <w:top w:val="none" w:sz="0" w:space="0" w:color="auto"/>
                        <w:left w:val="none" w:sz="0" w:space="0" w:color="auto"/>
                        <w:bottom w:val="none" w:sz="0" w:space="0" w:color="auto"/>
                        <w:right w:val="none" w:sz="0" w:space="0" w:color="auto"/>
                      </w:divBdr>
                      <w:divsChild>
                        <w:div w:id="591548216">
                          <w:marLeft w:val="0"/>
                          <w:marRight w:val="0"/>
                          <w:marTop w:val="0"/>
                          <w:marBottom w:val="0"/>
                          <w:divBdr>
                            <w:top w:val="none" w:sz="0" w:space="0" w:color="auto"/>
                            <w:left w:val="none" w:sz="0" w:space="0" w:color="auto"/>
                            <w:bottom w:val="none" w:sz="0" w:space="0" w:color="auto"/>
                            <w:right w:val="none" w:sz="0" w:space="0" w:color="auto"/>
                          </w:divBdr>
                        </w:div>
                        <w:div w:id="155004075">
                          <w:marLeft w:val="0"/>
                          <w:marRight w:val="0"/>
                          <w:marTop w:val="0"/>
                          <w:marBottom w:val="0"/>
                          <w:divBdr>
                            <w:top w:val="none" w:sz="0" w:space="0" w:color="auto"/>
                            <w:left w:val="none" w:sz="0" w:space="0" w:color="auto"/>
                            <w:bottom w:val="none" w:sz="0" w:space="0" w:color="auto"/>
                            <w:right w:val="none" w:sz="0" w:space="0" w:color="auto"/>
                          </w:divBdr>
                          <w:divsChild>
                            <w:div w:id="493490874">
                              <w:marLeft w:val="0"/>
                              <w:marRight w:val="0"/>
                              <w:marTop w:val="0"/>
                              <w:marBottom w:val="0"/>
                              <w:divBdr>
                                <w:top w:val="none" w:sz="0" w:space="0" w:color="auto"/>
                                <w:left w:val="none" w:sz="0" w:space="0" w:color="auto"/>
                                <w:bottom w:val="none" w:sz="0" w:space="0" w:color="auto"/>
                                <w:right w:val="none" w:sz="0" w:space="0" w:color="auto"/>
                              </w:divBdr>
                              <w:divsChild>
                                <w:div w:id="1204707318">
                                  <w:marLeft w:val="0"/>
                                  <w:marRight w:val="0"/>
                                  <w:marTop w:val="0"/>
                                  <w:marBottom w:val="0"/>
                                  <w:divBdr>
                                    <w:top w:val="none" w:sz="0" w:space="0" w:color="auto"/>
                                    <w:left w:val="none" w:sz="0" w:space="0" w:color="auto"/>
                                    <w:bottom w:val="none" w:sz="0" w:space="0" w:color="auto"/>
                                    <w:right w:val="none" w:sz="0" w:space="0" w:color="auto"/>
                                  </w:divBdr>
                                </w:div>
                                <w:div w:id="1886913987">
                                  <w:marLeft w:val="0"/>
                                  <w:marRight w:val="0"/>
                                  <w:marTop w:val="0"/>
                                  <w:marBottom w:val="0"/>
                                  <w:divBdr>
                                    <w:top w:val="none" w:sz="0" w:space="0" w:color="auto"/>
                                    <w:left w:val="none" w:sz="0" w:space="0" w:color="auto"/>
                                    <w:bottom w:val="none" w:sz="0" w:space="0" w:color="auto"/>
                                    <w:right w:val="none" w:sz="0" w:space="0" w:color="auto"/>
                                  </w:divBdr>
                                  <w:divsChild>
                                    <w:div w:id="1967201646">
                                      <w:marLeft w:val="0"/>
                                      <w:marRight w:val="0"/>
                                      <w:marTop w:val="0"/>
                                      <w:marBottom w:val="0"/>
                                      <w:divBdr>
                                        <w:top w:val="none" w:sz="0" w:space="0" w:color="auto"/>
                                        <w:left w:val="none" w:sz="0" w:space="0" w:color="auto"/>
                                        <w:bottom w:val="none" w:sz="0" w:space="0" w:color="auto"/>
                                        <w:right w:val="none" w:sz="0" w:space="0" w:color="auto"/>
                                      </w:divBdr>
                                    </w:div>
                                    <w:div w:id="1860729257">
                                      <w:marLeft w:val="0"/>
                                      <w:marRight w:val="0"/>
                                      <w:marTop w:val="0"/>
                                      <w:marBottom w:val="0"/>
                                      <w:divBdr>
                                        <w:top w:val="none" w:sz="0" w:space="0" w:color="auto"/>
                                        <w:left w:val="none" w:sz="0" w:space="0" w:color="auto"/>
                                        <w:bottom w:val="none" w:sz="0" w:space="0" w:color="auto"/>
                                        <w:right w:val="none" w:sz="0" w:space="0" w:color="auto"/>
                                      </w:divBdr>
                                      <w:divsChild>
                                        <w:div w:id="25370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809213">
                          <w:marLeft w:val="0"/>
                          <w:marRight w:val="0"/>
                          <w:marTop w:val="0"/>
                          <w:marBottom w:val="0"/>
                          <w:divBdr>
                            <w:top w:val="none" w:sz="0" w:space="0" w:color="auto"/>
                            <w:left w:val="none" w:sz="0" w:space="0" w:color="auto"/>
                            <w:bottom w:val="none" w:sz="0" w:space="0" w:color="auto"/>
                            <w:right w:val="none" w:sz="0" w:space="0" w:color="auto"/>
                          </w:divBdr>
                          <w:divsChild>
                            <w:div w:id="87172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me-newswire.net/news/3312/en"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businesswire.com" TargetMode="External"/><Relationship Id="rId5" Type="http://schemas.openxmlformats.org/officeDocument/2006/relationships/hyperlink" Target="http://www.me-newswire.net" TargetMode="External"/><Relationship Id="rId6" Type="http://schemas.openxmlformats.org/officeDocument/2006/relationships/hyperlink" Target="http://cts.businesswire.com/ct/CT?id=smartlink&amp;url=http%3A%2F%2Fbit.ly%2F1PDW7Ll&amp;esheet=51504934&amp;newsitemid=0&amp;lan=en-US&amp;anchor=Fluor+Corporation&amp;index=1&amp;md5=dbd40eb639cdf7115a146fe542a372ae" TargetMode="External"/><Relationship Id="rId7" Type="http://schemas.openxmlformats.org/officeDocument/2006/relationships/hyperlink" Target="http://cts.businesswire.com/ct/CT?id=smartlink&amp;url=http%3A%2F%2Fwww.fluor.com%2Fabout_fluor%2Fleadership%2Frick-koumouris&amp;esheet=51504934&amp;newsitemid=0&amp;lan=en-US&amp;anchor=Rick+Koumouris&amp;index=2&amp;md5=62527376423646fd9b3671cceccdca64" TargetMode="External"/><Relationship Id="rId8" Type="http://schemas.openxmlformats.org/officeDocument/2006/relationships/hyperlink" Target="http://cts.businesswire.com/ct/CT?id=smartlink&amp;url=http%3A%2F%2Fwww.fluor.com%2Fpages%2Fdefault.aspx&amp;esheet=51504934&amp;newsitemid=0&amp;lan=en-US&amp;anchor=Fluor+Corporation&amp;index=3&amp;md5=ffbd3e1df5d0c203c35bf8feba73bb4d" TargetMode="External"/><Relationship Id="rId9" Type="http://schemas.openxmlformats.org/officeDocument/2006/relationships/hyperlink" Target="http://cts.businesswire.com/ct/CT?id=smartlink&amp;url=http%3A%2F%2Fwww.fluor.com%2F&amp;esheet=51504934&amp;newsitemid=0&amp;lan=en-US&amp;anchor=www.fluor.com&amp;index=4&amp;md5=cdcb23a52607e96b1dd28daf3780ff30" TargetMode="External"/><Relationship Id="rId10" Type="http://schemas.openxmlformats.org/officeDocument/2006/relationships/hyperlink" Target="http://cts.businesswire.com/ct/CT?id=smartlink&amp;url=http%3A%2F%2Ftwitter.com%2FFluorCorp&amp;esheet=51504934&amp;newsitemid=0&amp;lan=en-US&amp;anchor=%40FluorCorp&amp;index=5&amp;md5=ea08cbe97151cca9e18beecb32634e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610</Words>
  <Characters>3479</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[NSG]</dc:creator>
  <cp:lastModifiedBy>Priscilla Moroke</cp:lastModifiedBy>
  <cp:revision>2</cp:revision>
  <dcterms:created xsi:type="dcterms:W3CDTF">2017-02-08T08:17:00Z</dcterms:created>
  <dcterms:modified xsi:type="dcterms:W3CDTF">2017-02-08T08:17:00Z</dcterms:modified>
</cp:coreProperties>
</file>