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73D4AB" w14:textId="7FCEDE76" w:rsidR="00831AA3" w:rsidRPr="009122EA" w:rsidRDefault="00E96F8A" w:rsidP="009122EA">
      <w:pPr>
        <w:spacing w:line="240" w:lineRule="auto"/>
        <w:ind w:left="1417" w:hanging="1559"/>
        <w:rPr>
          <w:b/>
        </w:rPr>
      </w:pPr>
      <w:bookmarkStart w:id="0" w:name="_GoBack"/>
      <w:bookmarkEnd w:id="0"/>
      <w:r w:rsidRPr="009122EA">
        <w:rPr>
          <w:b/>
        </w:rPr>
        <w:t>Media Release</w:t>
      </w:r>
    </w:p>
    <w:p w14:paraId="36B2811C" w14:textId="290A0288" w:rsidR="00831AA3" w:rsidRDefault="009122EA" w:rsidP="009122EA">
      <w:pPr>
        <w:spacing w:line="240" w:lineRule="auto"/>
        <w:ind w:left="1417" w:hanging="1559"/>
        <w:rPr>
          <w:b/>
        </w:rPr>
      </w:pPr>
      <w:r>
        <w:rPr>
          <w:b/>
        </w:rPr>
        <w:t xml:space="preserve">GBCSA launches </w:t>
      </w:r>
      <w:r w:rsidR="008505FC" w:rsidRPr="009122EA">
        <w:rPr>
          <w:b/>
        </w:rPr>
        <w:t>Green Star – Communities</w:t>
      </w:r>
      <w:r w:rsidR="00831AA3" w:rsidRPr="009122EA">
        <w:rPr>
          <w:b/>
        </w:rPr>
        <w:t xml:space="preserve"> Pilot Programme</w:t>
      </w:r>
      <w:r w:rsidR="00E96F8A" w:rsidRPr="009122EA">
        <w:rPr>
          <w:b/>
        </w:rPr>
        <w:t xml:space="preserve"> in South Africa</w:t>
      </w:r>
    </w:p>
    <w:p w14:paraId="732C2D4A" w14:textId="4C65C0D5" w:rsidR="009122EA" w:rsidRPr="009122EA" w:rsidRDefault="00941948" w:rsidP="009122EA">
      <w:pPr>
        <w:spacing w:line="240" w:lineRule="auto"/>
        <w:ind w:left="1417" w:hanging="1559"/>
        <w:rPr>
          <w:b/>
        </w:rPr>
      </w:pPr>
      <w:r>
        <w:rPr>
          <w:b/>
        </w:rPr>
        <w:t>7 December</w:t>
      </w:r>
      <w:r w:rsidR="00DB16DD">
        <w:rPr>
          <w:b/>
        </w:rPr>
        <w:t xml:space="preserve"> 2016</w:t>
      </w:r>
      <w:r w:rsidR="009122EA">
        <w:rPr>
          <w:b/>
        </w:rPr>
        <w:t xml:space="preserve"> </w:t>
      </w:r>
    </w:p>
    <w:p w14:paraId="2BA01788" w14:textId="7273660E" w:rsidR="00C212A4" w:rsidRDefault="009F2314" w:rsidP="00590615">
      <w:pPr>
        <w:spacing w:line="276" w:lineRule="auto"/>
        <w:rPr>
          <w:rFonts w:eastAsia="Times New Roman"/>
        </w:rPr>
      </w:pPr>
      <w:r>
        <w:rPr>
          <w:rFonts w:eastAsia="Times New Roman"/>
        </w:rPr>
        <w:t xml:space="preserve">The Green Building </w:t>
      </w:r>
      <w:r w:rsidR="00845EB2">
        <w:rPr>
          <w:rFonts w:eastAsia="Times New Roman"/>
        </w:rPr>
        <w:t>Council South Africa (GBCSA) today announced the launch of</w:t>
      </w:r>
      <w:r>
        <w:rPr>
          <w:rFonts w:eastAsia="Times New Roman"/>
        </w:rPr>
        <w:t xml:space="preserve"> </w:t>
      </w:r>
      <w:r w:rsidR="00845EB2">
        <w:rPr>
          <w:rFonts w:eastAsia="Times New Roman"/>
        </w:rPr>
        <w:t xml:space="preserve">the </w:t>
      </w:r>
      <w:r w:rsidR="009122EA">
        <w:rPr>
          <w:rFonts w:eastAsia="Times New Roman"/>
        </w:rPr>
        <w:t xml:space="preserve">locally applicable version of the Green Star – Communities rating tool in South Africa. The tool is </w:t>
      </w:r>
      <w:r>
        <w:rPr>
          <w:rFonts w:eastAsia="Times New Roman"/>
        </w:rPr>
        <w:t>a framework that will drive the development of more sustainable neighbourhoods and precincts, ultimately making African cities more sustainable.</w:t>
      </w:r>
    </w:p>
    <w:p w14:paraId="7BF1BAB4" w14:textId="501F2D22" w:rsidR="00845EB2" w:rsidRDefault="00845EB2" w:rsidP="00845EB2">
      <w:pPr>
        <w:spacing w:line="276" w:lineRule="auto"/>
        <w:rPr>
          <w:rFonts w:eastAsia="Times New Roman"/>
        </w:rPr>
      </w:pPr>
      <w:r w:rsidRPr="00694D53">
        <w:rPr>
          <w:rFonts w:eastAsia="Times New Roman"/>
        </w:rPr>
        <w:t>Green Star – Communities</w:t>
      </w:r>
      <w:r>
        <w:rPr>
          <w:rFonts w:eastAsia="Times New Roman"/>
        </w:rPr>
        <w:t>, developed by the Green Building Council Australia,</w:t>
      </w:r>
      <w:r w:rsidRPr="00694D53">
        <w:rPr>
          <w:rFonts w:eastAsia="Times New Roman"/>
        </w:rPr>
        <w:t xml:space="preserve"> evaluates the sustainability attributes of the planning,</w:t>
      </w:r>
      <w:r>
        <w:rPr>
          <w:rFonts w:eastAsia="Times New Roman"/>
        </w:rPr>
        <w:t xml:space="preserve"> design</w:t>
      </w:r>
      <w:r w:rsidRPr="00694D53">
        <w:rPr>
          <w:rFonts w:eastAsia="Times New Roman"/>
        </w:rPr>
        <w:t xml:space="preserve"> and construction of large scale development projects, at a </w:t>
      </w:r>
      <w:r>
        <w:rPr>
          <w:rFonts w:eastAsia="Times New Roman"/>
        </w:rPr>
        <w:t xml:space="preserve">precinct, neighbourhood, and/or </w:t>
      </w:r>
      <w:r w:rsidRPr="00694D53">
        <w:rPr>
          <w:rFonts w:eastAsia="Times New Roman"/>
        </w:rPr>
        <w:t>community scale. The Green Star</w:t>
      </w:r>
      <w:r>
        <w:rPr>
          <w:rFonts w:eastAsia="Times New Roman"/>
        </w:rPr>
        <w:t xml:space="preserve"> – Communities rating tool assists governments, development </w:t>
      </w:r>
      <w:r w:rsidRPr="00694D53">
        <w:rPr>
          <w:rFonts w:eastAsia="Times New Roman"/>
        </w:rPr>
        <w:t xml:space="preserve">project teams, contractors and other interested parties aiming to </w:t>
      </w:r>
      <w:r>
        <w:rPr>
          <w:rFonts w:eastAsia="Times New Roman"/>
        </w:rPr>
        <w:t xml:space="preserve">deliver large scale sustainable </w:t>
      </w:r>
      <w:r w:rsidRPr="00694D53">
        <w:rPr>
          <w:rFonts w:eastAsia="Times New Roman"/>
        </w:rPr>
        <w:t>de</w:t>
      </w:r>
      <w:r>
        <w:rPr>
          <w:rFonts w:eastAsia="Times New Roman"/>
        </w:rPr>
        <w:t>velopments to:</w:t>
      </w:r>
    </w:p>
    <w:p w14:paraId="0394732C" w14:textId="77777777" w:rsidR="00845EB2" w:rsidRDefault="00845EB2" w:rsidP="00845EB2">
      <w:pPr>
        <w:pStyle w:val="ListParagraph"/>
        <w:numPr>
          <w:ilvl w:val="0"/>
          <w:numId w:val="1"/>
        </w:numPr>
        <w:spacing w:line="276" w:lineRule="auto"/>
        <w:rPr>
          <w:rFonts w:eastAsia="Times New Roman"/>
        </w:rPr>
      </w:pPr>
      <w:r w:rsidRPr="00694D53">
        <w:rPr>
          <w:rFonts w:eastAsia="Times New Roman"/>
        </w:rPr>
        <w:t>Provide diverse, affordable, inclusive, well connected and healthy places to live, work and</w:t>
      </w:r>
      <w:r>
        <w:rPr>
          <w:rFonts w:eastAsia="Times New Roman"/>
        </w:rPr>
        <w:t xml:space="preserve"> </w:t>
      </w:r>
      <w:r w:rsidRPr="00694D53">
        <w:rPr>
          <w:rFonts w:eastAsia="Times New Roman"/>
        </w:rPr>
        <w:t>play;</w:t>
      </w:r>
    </w:p>
    <w:p w14:paraId="71130220" w14:textId="77777777" w:rsidR="00845EB2" w:rsidRDefault="00845EB2" w:rsidP="00845EB2">
      <w:pPr>
        <w:pStyle w:val="ListParagraph"/>
        <w:numPr>
          <w:ilvl w:val="0"/>
          <w:numId w:val="1"/>
        </w:numPr>
        <w:spacing w:line="276" w:lineRule="auto"/>
        <w:rPr>
          <w:rFonts w:eastAsia="Times New Roman"/>
        </w:rPr>
      </w:pPr>
      <w:r w:rsidRPr="00694D53">
        <w:rPr>
          <w:rFonts w:eastAsia="Times New Roman"/>
        </w:rPr>
        <w:t>Protect, maintain and restore the natural environment by reducing the ecological footprint of</w:t>
      </w:r>
      <w:r>
        <w:rPr>
          <w:rFonts w:eastAsia="Times New Roman"/>
        </w:rPr>
        <w:t xml:space="preserve"> </w:t>
      </w:r>
      <w:r w:rsidRPr="00694D53">
        <w:rPr>
          <w:rFonts w:eastAsia="Times New Roman"/>
        </w:rPr>
        <w:t>developments;</w:t>
      </w:r>
      <w:r>
        <w:rPr>
          <w:rFonts w:eastAsia="Times New Roman"/>
        </w:rPr>
        <w:t xml:space="preserve"> </w:t>
      </w:r>
    </w:p>
    <w:p w14:paraId="014566BC" w14:textId="77777777" w:rsidR="00845EB2" w:rsidRDefault="00845EB2" w:rsidP="00845EB2">
      <w:pPr>
        <w:pStyle w:val="ListParagraph"/>
        <w:numPr>
          <w:ilvl w:val="0"/>
          <w:numId w:val="1"/>
        </w:numPr>
        <w:spacing w:line="276" w:lineRule="auto"/>
        <w:rPr>
          <w:rFonts w:eastAsia="Times New Roman"/>
        </w:rPr>
      </w:pPr>
      <w:r w:rsidRPr="00694D53">
        <w:rPr>
          <w:rFonts w:eastAsia="Times New Roman"/>
        </w:rPr>
        <w:t>Receive recognition for demonstrated leadership and commitment to sustainability;</w:t>
      </w:r>
    </w:p>
    <w:p w14:paraId="5E82FD5B" w14:textId="77777777" w:rsidR="00845EB2" w:rsidRDefault="00845EB2" w:rsidP="00845EB2">
      <w:pPr>
        <w:pStyle w:val="ListParagraph"/>
        <w:numPr>
          <w:ilvl w:val="0"/>
          <w:numId w:val="1"/>
        </w:numPr>
        <w:spacing w:line="276" w:lineRule="auto"/>
        <w:rPr>
          <w:rFonts w:eastAsia="Times New Roman"/>
        </w:rPr>
      </w:pPr>
      <w:r w:rsidRPr="00694D53">
        <w:rPr>
          <w:rFonts w:eastAsia="Times New Roman"/>
        </w:rPr>
        <w:t>Achieve real value for money through demonstrated whole-of-life cost savings; and</w:t>
      </w:r>
    </w:p>
    <w:p w14:paraId="623E7BB3" w14:textId="77777777" w:rsidR="00845EB2" w:rsidRPr="00694D53" w:rsidRDefault="00845EB2" w:rsidP="00845EB2">
      <w:pPr>
        <w:pStyle w:val="ListParagraph"/>
        <w:numPr>
          <w:ilvl w:val="0"/>
          <w:numId w:val="1"/>
        </w:numPr>
        <w:spacing w:line="276" w:lineRule="auto"/>
        <w:rPr>
          <w:rFonts w:eastAsia="Times New Roman"/>
        </w:rPr>
      </w:pPr>
      <w:r w:rsidRPr="00694D53">
        <w:rPr>
          <w:rFonts w:eastAsia="Times New Roman"/>
        </w:rPr>
        <w:t>Encourage opportunities for business diversity, efficiency, innovation, and economic</w:t>
      </w:r>
      <w:r>
        <w:rPr>
          <w:rFonts w:eastAsia="Times New Roman"/>
        </w:rPr>
        <w:t xml:space="preserve"> </w:t>
      </w:r>
      <w:r w:rsidRPr="00694D53">
        <w:rPr>
          <w:rFonts w:eastAsia="Times New Roman"/>
        </w:rPr>
        <w:t>development.</w:t>
      </w:r>
    </w:p>
    <w:p w14:paraId="661015E5" w14:textId="67385DB2" w:rsidR="009122EA" w:rsidRDefault="00487681" w:rsidP="00590615">
      <w:pPr>
        <w:spacing w:line="276" w:lineRule="auto"/>
        <w:rPr>
          <w:rFonts w:eastAsia="Times New Roman"/>
        </w:rPr>
      </w:pPr>
      <w:r>
        <w:rPr>
          <w:rFonts w:eastAsia="Times New Roman"/>
        </w:rPr>
        <w:t>T</w:t>
      </w:r>
      <w:r w:rsidR="009122EA">
        <w:rPr>
          <w:rFonts w:eastAsia="Times New Roman"/>
        </w:rPr>
        <w:t xml:space="preserve">he tool </w:t>
      </w:r>
      <w:r w:rsidR="004B15BF">
        <w:rPr>
          <w:rFonts w:eastAsia="Times New Roman"/>
        </w:rPr>
        <w:t>is being</w:t>
      </w:r>
      <w:r w:rsidR="009122EA">
        <w:rPr>
          <w:rFonts w:eastAsia="Times New Roman"/>
        </w:rPr>
        <w:t xml:space="preserve"> launched</w:t>
      </w:r>
      <w:r w:rsidR="00831AA3">
        <w:rPr>
          <w:rFonts w:eastAsia="Times New Roman"/>
        </w:rPr>
        <w:t xml:space="preserve"> </w:t>
      </w:r>
      <w:r w:rsidR="00845EB2">
        <w:rPr>
          <w:rFonts w:eastAsia="Times New Roman"/>
        </w:rPr>
        <w:t xml:space="preserve">in South Africa </w:t>
      </w:r>
      <w:r w:rsidR="00831AA3">
        <w:rPr>
          <w:rFonts w:eastAsia="Times New Roman"/>
        </w:rPr>
        <w:t xml:space="preserve">through </w:t>
      </w:r>
      <w:r w:rsidR="009F2314">
        <w:rPr>
          <w:rFonts w:eastAsia="Times New Roman"/>
        </w:rPr>
        <w:t xml:space="preserve">a </w:t>
      </w:r>
      <w:r w:rsidR="00831AA3">
        <w:rPr>
          <w:rFonts w:eastAsia="Times New Roman"/>
        </w:rPr>
        <w:t xml:space="preserve">stakeholder engagement </w:t>
      </w:r>
      <w:r w:rsidR="009F2314">
        <w:rPr>
          <w:rFonts w:eastAsia="Times New Roman"/>
        </w:rPr>
        <w:t>process that includes a number of pilot n</w:t>
      </w:r>
      <w:r w:rsidR="009122EA">
        <w:rPr>
          <w:rFonts w:eastAsia="Times New Roman"/>
        </w:rPr>
        <w:t>eighbourhood scale projects, which</w:t>
      </w:r>
      <w:r w:rsidR="009F2314">
        <w:rPr>
          <w:rFonts w:eastAsia="Times New Roman"/>
        </w:rPr>
        <w:t xml:space="preserve"> will test and be certified </w:t>
      </w:r>
      <w:r w:rsidR="00111347">
        <w:rPr>
          <w:rFonts w:eastAsia="Times New Roman"/>
        </w:rPr>
        <w:t xml:space="preserve">by the GBCSA </w:t>
      </w:r>
      <w:r w:rsidR="009F2314">
        <w:rPr>
          <w:rFonts w:eastAsia="Times New Roman"/>
        </w:rPr>
        <w:t>using the framework. The stakeholder engagem</w:t>
      </w:r>
      <w:r w:rsidR="00DB16DD">
        <w:rPr>
          <w:rFonts w:eastAsia="Times New Roman"/>
        </w:rPr>
        <w:t>ent process is sponsored by the United States Agency for International Development (USAID)</w:t>
      </w:r>
      <w:r w:rsidR="009F2314">
        <w:rPr>
          <w:rFonts w:eastAsia="Times New Roman"/>
        </w:rPr>
        <w:t xml:space="preserve"> </w:t>
      </w:r>
      <w:r w:rsidR="00DB16DD">
        <w:rPr>
          <w:rFonts w:eastAsia="Times New Roman"/>
        </w:rPr>
        <w:t xml:space="preserve">through their South Africa Low Emissions Development Programme </w:t>
      </w:r>
      <w:r w:rsidR="00111347">
        <w:rPr>
          <w:rFonts w:eastAsia="Times New Roman"/>
        </w:rPr>
        <w:t>and</w:t>
      </w:r>
      <w:r w:rsidR="00590615" w:rsidRPr="00590615">
        <w:rPr>
          <w:rFonts w:eastAsia="Times New Roman"/>
        </w:rPr>
        <w:t xml:space="preserve"> </w:t>
      </w:r>
      <w:r w:rsidR="00590615">
        <w:rPr>
          <w:rFonts w:eastAsia="Times New Roman"/>
        </w:rPr>
        <w:t>comprises</w:t>
      </w:r>
      <w:r w:rsidR="00111347">
        <w:rPr>
          <w:rFonts w:eastAsia="Times New Roman"/>
        </w:rPr>
        <w:t xml:space="preserve"> a Technical Advisory Panel including over 30 industry experts who are providing input and guidance on the applicability of the criteria in the Green Star tool in the South African context</w:t>
      </w:r>
      <w:r w:rsidR="009F2314">
        <w:rPr>
          <w:rFonts w:eastAsia="Times New Roman"/>
        </w:rPr>
        <w:t>.</w:t>
      </w:r>
      <w:r w:rsidR="00FC3D80">
        <w:rPr>
          <w:rFonts w:eastAsia="Times New Roman"/>
        </w:rPr>
        <w:t xml:space="preserve"> The advisory panel includes both private and public sector sta</w:t>
      </w:r>
      <w:r w:rsidR="004B15BF">
        <w:rPr>
          <w:rFonts w:eastAsia="Times New Roman"/>
        </w:rPr>
        <w:t>keholders – such as</w:t>
      </w:r>
      <w:r w:rsidR="00FC3D80">
        <w:rPr>
          <w:rFonts w:eastAsia="Times New Roman"/>
        </w:rPr>
        <w:t xml:space="preserve"> SALGA, </w:t>
      </w:r>
      <w:r w:rsidR="004B15BF">
        <w:rPr>
          <w:rFonts w:eastAsia="Times New Roman"/>
        </w:rPr>
        <w:t xml:space="preserve">the </w:t>
      </w:r>
      <w:r w:rsidR="00FC3D80">
        <w:rPr>
          <w:rFonts w:eastAsia="Times New Roman"/>
        </w:rPr>
        <w:t>Ci</w:t>
      </w:r>
      <w:r w:rsidR="004B15BF">
        <w:rPr>
          <w:rFonts w:eastAsia="Times New Roman"/>
        </w:rPr>
        <w:t xml:space="preserve">ty of Tshwane and Johannesburg – </w:t>
      </w:r>
      <w:r w:rsidR="00FC3D80">
        <w:rPr>
          <w:rFonts w:eastAsia="Times New Roman"/>
        </w:rPr>
        <w:t>as well as academia.</w:t>
      </w:r>
      <w:r w:rsidR="00CB3093">
        <w:rPr>
          <w:rFonts w:eastAsia="Times New Roman"/>
        </w:rPr>
        <w:t xml:space="preserve"> </w:t>
      </w:r>
    </w:p>
    <w:p w14:paraId="78E153F9" w14:textId="2F597700" w:rsidR="00106452" w:rsidRDefault="00CB3093" w:rsidP="00590615">
      <w:pPr>
        <w:spacing w:line="276" w:lineRule="auto"/>
        <w:rPr>
          <w:rFonts w:eastAsia="Times New Roman"/>
        </w:rPr>
      </w:pPr>
      <w:r>
        <w:rPr>
          <w:rFonts w:eastAsia="Times New Roman"/>
        </w:rPr>
        <w:t>The process will conclu</w:t>
      </w:r>
      <w:r w:rsidR="009122EA">
        <w:rPr>
          <w:rFonts w:eastAsia="Times New Roman"/>
        </w:rPr>
        <w:t>de with the release of a Local C</w:t>
      </w:r>
      <w:r>
        <w:rPr>
          <w:rFonts w:eastAsia="Times New Roman"/>
        </w:rPr>
        <w:t xml:space="preserve">ontext Report in January 2017. Projects can register for certification under this tool from November 2016 onwards. </w:t>
      </w:r>
    </w:p>
    <w:p w14:paraId="3BC56E8D" w14:textId="0A0BCC1C" w:rsidR="00845EB2" w:rsidRDefault="00B47160" w:rsidP="00845EB2">
      <w:pPr>
        <w:spacing w:line="276" w:lineRule="auto"/>
        <w:rPr>
          <w:rFonts w:eastAsia="Times New Roman"/>
        </w:rPr>
      </w:pPr>
      <w:r w:rsidRPr="00B47160">
        <w:rPr>
          <w:rFonts w:eastAsia="Times New Roman"/>
        </w:rPr>
        <w:t xml:space="preserve">GBCSA CEO, Brian Wilkinson says that </w:t>
      </w:r>
      <w:r w:rsidR="00845EB2">
        <w:rPr>
          <w:rFonts w:eastAsia="Times New Roman"/>
        </w:rPr>
        <w:t>green building and sustainability in the built environment is about more than just buildings. “It’s also about the spaces, connections and infrastructure between the buildings, a precinct, a neighbourhood, or a city. At this scale one can truly see the real impact of sustainability and make the connection between various daily activities between home, work, gym, school and entertainment.”</w:t>
      </w:r>
    </w:p>
    <w:p w14:paraId="208B7F1F" w14:textId="29A17928" w:rsidR="00724AC3" w:rsidRDefault="00724AC3" w:rsidP="00590615">
      <w:pPr>
        <w:spacing w:line="276" w:lineRule="auto"/>
        <w:rPr>
          <w:rFonts w:eastAsia="Times New Roman"/>
        </w:rPr>
      </w:pPr>
      <w:r>
        <w:rPr>
          <w:rFonts w:ascii="Calibri" w:hAnsi="Calibri" w:cs="Arial"/>
          <w:b/>
          <w:iCs/>
        </w:rPr>
        <w:t>Pilot Projects</w:t>
      </w:r>
    </w:p>
    <w:p w14:paraId="58F8B081" w14:textId="7AA05795" w:rsidR="009F0E93" w:rsidRDefault="00724AC3" w:rsidP="00590615">
      <w:pPr>
        <w:spacing w:line="276" w:lineRule="auto"/>
        <w:rPr>
          <w:rFonts w:eastAsia="Times New Roman"/>
        </w:rPr>
      </w:pPr>
      <w:r>
        <w:rPr>
          <w:rFonts w:eastAsia="Times New Roman"/>
        </w:rPr>
        <w:t>There are 14 projects that the GBCSA accepted via a call for pil</w:t>
      </w:r>
      <w:r w:rsidR="00B47160">
        <w:rPr>
          <w:rFonts w:eastAsia="Times New Roman"/>
        </w:rPr>
        <w:t>ot projects in August 2016, which</w:t>
      </w:r>
      <w:r>
        <w:rPr>
          <w:rFonts w:eastAsia="Times New Roman"/>
        </w:rPr>
        <w:t xml:space="preserve"> form part of </w:t>
      </w:r>
      <w:r w:rsidR="00B47160">
        <w:rPr>
          <w:rFonts w:eastAsia="Times New Roman"/>
        </w:rPr>
        <w:t>the Technical Advisory Panel. T</w:t>
      </w:r>
      <w:r>
        <w:rPr>
          <w:rFonts w:eastAsia="Times New Roman"/>
        </w:rPr>
        <w:t xml:space="preserve">hese pilot projects are vital early adopters to support the long </w:t>
      </w:r>
      <w:r>
        <w:rPr>
          <w:rFonts w:eastAsia="Times New Roman"/>
        </w:rPr>
        <w:lastRenderedPageBreak/>
        <w:t>term success and applicability of this Green Star tool in the African context, because they will provide ess</w:t>
      </w:r>
      <w:r w:rsidR="00460126">
        <w:rPr>
          <w:rFonts w:eastAsia="Times New Roman"/>
        </w:rPr>
        <w:t>ential feedback allowing</w:t>
      </w:r>
      <w:r>
        <w:rPr>
          <w:rFonts w:eastAsia="Times New Roman"/>
        </w:rPr>
        <w:t xml:space="preserve"> </w:t>
      </w:r>
      <w:r w:rsidR="00460126">
        <w:rPr>
          <w:rFonts w:eastAsia="Times New Roman"/>
        </w:rPr>
        <w:t xml:space="preserve">the tool </w:t>
      </w:r>
      <w:r>
        <w:rPr>
          <w:rFonts w:eastAsia="Times New Roman"/>
        </w:rPr>
        <w:t xml:space="preserve">to </w:t>
      </w:r>
      <w:r w:rsidR="00460126">
        <w:rPr>
          <w:rFonts w:eastAsia="Times New Roman"/>
        </w:rPr>
        <w:t xml:space="preserve">be appropriately adjusted to </w:t>
      </w:r>
      <w:r>
        <w:rPr>
          <w:rFonts w:eastAsia="Times New Roman"/>
        </w:rPr>
        <w:t>the local context.</w:t>
      </w:r>
      <w:r w:rsidR="00EA2A1B">
        <w:rPr>
          <w:rFonts w:eastAsia="Times New Roman"/>
        </w:rPr>
        <w:t xml:space="preserve"> Of these 14 projects, </w:t>
      </w:r>
      <w:r w:rsidR="00525739">
        <w:rPr>
          <w:rFonts w:eastAsia="Times New Roman"/>
        </w:rPr>
        <w:t>eight</w:t>
      </w:r>
      <w:r w:rsidR="00B47160">
        <w:rPr>
          <w:rFonts w:eastAsia="Times New Roman"/>
        </w:rPr>
        <w:t xml:space="preserve"> have</w:t>
      </w:r>
      <w:r w:rsidR="00EA2A1B">
        <w:rPr>
          <w:rFonts w:eastAsia="Times New Roman"/>
        </w:rPr>
        <w:t xml:space="preserve"> already committed to certification using this tool, targeting either a 4, 5 or 6 Star rating</w:t>
      </w:r>
      <w:r w:rsidR="00E72F41">
        <w:rPr>
          <w:rFonts w:eastAsia="Times New Roman"/>
        </w:rPr>
        <w:t xml:space="preserve"> from the GBCSA</w:t>
      </w:r>
      <w:r w:rsidR="00525739">
        <w:rPr>
          <w:rFonts w:eastAsia="Times New Roman"/>
        </w:rPr>
        <w:t>, with the other 6 seriously considering it reviewing the details</w:t>
      </w:r>
      <w:r w:rsidR="00EA2A1B">
        <w:rPr>
          <w:rFonts w:eastAsia="Times New Roman"/>
        </w:rPr>
        <w:t>.</w:t>
      </w:r>
      <w:r w:rsidR="00B47160">
        <w:rPr>
          <w:rFonts w:eastAsia="Times New Roman"/>
        </w:rPr>
        <w:t xml:space="preserve"> These </w:t>
      </w:r>
      <w:r w:rsidR="00525739">
        <w:rPr>
          <w:rFonts w:eastAsia="Times New Roman"/>
        </w:rPr>
        <w:t xml:space="preserve">eight </w:t>
      </w:r>
      <w:r w:rsidR="00B47160">
        <w:rPr>
          <w:rFonts w:eastAsia="Times New Roman"/>
        </w:rPr>
        <w:t xml:space="preserve">projects </w:t>
      </w:r>
      <w:r w:rsidR="00525739">
        <w:rPr>
          <w:rFonts w:eastAsia="Times New Roman"/>
        </w:rPr>
        <w:t xml:space="preserve">already targeting certification </w:t>
      </w:r>
      <w:r w:rsidR="00B47160">
        <w:rPr>
          <w:rFonts w:eastAsia="Times New Roman"/>
        </w:rPr>
        <w:t>are listed below and more information on each project is available under Notes to Editors:</w:t>
      </w:r>
    </w:p>
    <w:p w14:paraId="77F3E483" w14:textId="77777777" w:rsidR="00B47160" w:rsidRDefault="00B47160" w:rsidP="00B47160">
      <w:pPr>
        <w:pStyle w:val="ListParagraph"/>
        <w:numPr>
          <w:ilvl w:val="0"/>
          <w:numId w:val="3"/>
        </w:numPr>
        <w:spacing w:after="0" w:line="276" w:lineRule="auto"/>
        <w:contextualSpacing w:val="0"/>
      </w:pPr>
      <w:r>
        <w:t>Braamfontein West, Johannesburg, led by EcoCentric</w:t>
      </w:r>
    </w:p>
    <w:p w14:paraId="6D5AA2E3" w14:textId="3E352914" w:rsidR="005B37F3" w:rsidRDefault="005B37F3" w:rsidP="00590615">
      <w:pPr>
        <w:pStyle w:val="ListParagraph"/>
        <w:numPr>
          <w:ilvl w:val="0"/>
          <w:numId w:val="3"/>
        </w:numPr>
        <w:spacing w:after="0" w:line="276" w:lineRule="auto"/>
        <w:contextualSpacing w:val="0"/>
      </w:pPr>
      <w:r>
        <w:t>Blue Rock</w:t>
      </w:r>
      <w:r w:rsidR="00B47160">
        <w:t>, Somerset West,</w:t>
      </w:r>
      <w:r w:rsidR="004A69E5">
        <w:t xml:space="preserve"> develo</w:t>
      </w:r>
      <w:r w:rsidR="002E567B">
        <w:t>ped by Swis</w:t>
      </w:r>
      <w:r w:rsidR="004A69E5">
        <w:t>atec</w:t>
      </w:r>
    </w:p>
    <w:p w14:paraId="4927CC16" w14:textId="63360869" w:rsidR="005B37F3" w:rsidRDefault="002B4D4C" w:rsidP="00590615">
      <w:pPr>
        <w:pStyle w:val="ListParagraph"/>
        <w:numPr>
          <w:ilvl w:val="0"/>
          <w:numId w:val="3"/>
        </w:numPr>
        <w:spacing w:after="0" w:line="276" w:lineRule="auto"/>
        <w:contextualSpacing w:val="0"/>
      </w:pPr>
      <w:r>
        <w:t xml:space="preserve">Garden Cities: Phase 13 Sunningdale, Cape Town, developed by Garden </w:t>
      </w:r>
      <w:r w:rsidR="004A69E5">
        <w:t xml:space="preserve">Cities </w:t>
      </w:r>
    </w:p>
    <w:p w14:paraId="1BCD84A9" w14:textId="77777777" w:rsidR="00B47160" w:rsidRDefault="00B47160" w:rsidP="00B47160">
      <w:pPr>
        <w:pStyle w:val="ListParagraph"/>
        <w:numPr>
          <w:ilvl w:val="0"/>
          <w:numId w:val="3"/>
        </w:numPr>
        <w:spacing w:after="0" w:line="276" w:lineRule="auto"/>
        <w:contextualSpacing w:val="0"/>
      </w:pPr>
      <w:r>
        <w:t>Kgoro Precinct, Johannesburg, developed by Ceder Park Properties</w:t>
      </w:r>
    </w:p>
    <w:p w14:paraId="2C75D7DA" w14:textId="77777777" w:rsidR="00B47160" w:rsidRDefault="00B47160" w:rsidP="00B47160">
      <w:pPr>
        <w:pStyle w:val="ListParagraph"/>
        <w:numPr>
          <w:ilvl w:val="0"/>
          <w:numId w:val="3"/>
        </w:numPr>
        <w:spacing w:after="0" w:line="276" w:lineRule="auto"/>
        <w:contextualSpacing w:val="0"/>
      </w:pPr>
      <w:r>
        <w:t>Menlyn Maine, Tshwane, developed by Menlyn Maine Holdings</w:t>
      </w:r>
    </w:p>
    <w:p w14:paraId="0A602FEF" w14:textId="29ED1281" w:rsidR="00B47160" w:rsidRDefault="00B47160" w:rsidP="00B47160">
      <w:pPr>
        <w:pStyle w:val="ListParagraph"/>
        <w:numPr>
          <w:ilvl w:val="0"/>
          <w:numId w:val="3"/>
        </w:numPr>
        <w:spacing w:after="0" w:line="276" w:lineRule="auto"/>
        <w:contextualSpacing w:val="0"/>
      </w:pPr>
      <w:r>
        <w:t>Nature’s Path Lifestyle Village, Keurbooms, Plettenberg Bay, developed by PMG Africa</w:t>
      </w:r>
    </w:p>
    <w:p w14:paraId="59E7EB1F" w14:textId="293B1503" w:rsidR="005B37F3" w:rsidRDefault="008E1C9A" w:rsidP="00590615">
      <w:pPr>
        <w:pStyle w:val="ListParagraph"/>
        <w:numPr>
          <w:ilvl w:val="0"/>
          <w:numId w:val="3"/>
        </w:numPr>
        <w:spacing w:after="0" w:line="276" w:lineRule="auto"/>
        <w:contextualSpacing w:val="0"/>
      </w:pPr>
      <w:r>
        <w:t xml:space="preserve">Oxford Parks, </w:t>
      </w:r>
      <w:r w:rsidR="004A69E5">
        <w:t xml:space="preserve">Johannesburg, developed by </w:t>
      </w:r>
      <w:r w:rsidR="002E567B">
        <w:t>Inta</w:t>
      </w:r>
      <w:r w:rsidR="004A69E5">
        <w:t>prop</w:t>
      </w:r>
    </w:p>
    <w:p w14:paraId="2ED391FF" w14:textId="37C2041D" w:rsidR="005B37F3" w:rsidRDefault="005B37F3" w:rsidP="00590615">
      <w:pPr>
        <w:pStyle w:val="ListParagraph"/>
        <w:numPr>
          <w:ilvl w:val="0"/>
          <w:numId w:val="3"/>
        </w:numPr>
        <w:spacing w:after="0" w:line="276" w:lineRule="auto"/>
        <w:contextualSpacing w:val="0"/>
      </w:pPr>
      <w:r>
        <w:t>Sandton Gate</w:t>
      </w:r>
      <w:r w:rsidR="004A69E5">
        <w:t>, Johannesburg, developed by a joint venture between Abland &amp; Tiber</w:t>
      </w:r>
    </w:p>
    <w:p w14:paraId="2D379C72" w14:textId="77777777" w:rsidR="00B47160" w:rsidRDefault="00B47160" w:rsidP="00B47160">
      <w:pPr>
        <w:spacing w:after="0" w:line="276" w:lineRule="auto"/>
      </w:pPr>
    </w:p>
    <w:p w14:paraId="676F77A1" w14:textId="1EDA887F" w:rsidR="00941948" w:rsidRPr="00941948" w:rsidRDefault="00941948" w:rsidP="00941948">
      <w:pPr>
        <w:spacing w:line="276" w:lineRule="auto"/>
        <w:rPr>
          <w:rFonts w:eastAsia="Times New Roman"/>
        </w:rPr>
      </w:pPr>
      <w:r w:rsidRPr="00941948">
        <w:rPr>
          <w:rFonts w:eastAsia="Times New Roman"/>
        </w:rPr>
        <w:t>The GBCSA will be reviewing the 'Communities' name of the tool in the African c</w:t>
      </w:r>
      <w:r>
        <w:rPr>
          <w:rFonts w:eastAsia="Times New Roman"/>
        </w:rPr>
        <w:t>ontext, to make it more identifiable</w:t>
      </w:r>
      <w:r w:rsidRPr="00941948">
        <w:rPr>
          <w:rFonts w:eastAsia="Times New Roman"/>
        </w:rPr>
        <w:t xml:space="preserve"> with neighbo</w:t>
      </w:r>
      <w:r>
        <w:rPr>
          <w:rFonts w:eastAsia="Times New Roman"/>
        </w:rPr>
        <w:t>u</w:t>
      </w:r>
      <w:r w:rsidRPr="00941948">
        <w:rPr>
          <w:rFonts w:eastAsia="Times New Roman"/>
        </w:rPr>
        <w:t>rhood/precinct scale sustainable development proj</w:t>
      </w:r>
      <w:r>
        <w:rPr>
          <w:rFonts w:eastAsia="Times New Roman"/>
        </w:rPr>
        <w:t>ects in Africa, and will announce this in the first</w:t>
      </w:r>
      <w:r w:rsidRPr="00941948">
        <w:rPr>
          <w:rFonts w:eastAsia="Times New Roman"/>
        </w:rPr>
        <w:t xml:space="preserve"> quarter of 2017</w:t>
      </w:r>
      <w:r>
        <w:rPr>
          <w:rFonts w:eastAsia="Times New Roman"/>
        </w:rPr>
        <w:t>.</w:t>
      </w:r>
    </w:p>
    <w:p w14:paraId="1A8D895D" w14:textId="5AC6BB2D" w:rsidR="00B47160" w:rsidRPr="00941948" w:rsidRDefault="00B47160" w:rsidP="00941948">
      <w:pPr>
        <w:spacing w:line="276" w:lineRule="auto"/>
        <w:rPr>
          <w:rFonts w:eastAsia="Times New Roman"/>
        </w:rPr>
      </w:pPr>
      <w:r w:rsidRPr="00941948">
        <w:rPr>
          <w:rFonts w:eastAsia="Times New Roman"/>
        </w:rPr>
        <w:t xml:space="preserve">Ends </w:t>
      </w:r>
    </w:p>
    <w:p w14:paraId="3582E6E6" w14:textId="77777777" w:rsidR="004B15BF" w:rsidRDefault="004B15BF" w:rsidP="00B47160">
      <w:pPr>
        <w:spacing w:after="0" w:line="276" w:lineRule="auto"/>
      </w:pPr>
    </w:p>
    <w:p w14:paraId="417FA787" w14:textId="77777777" w:rsidR="004B15BF" w:rsidRPr="000C7921" w:rsidRDefault="004B15BF" w:rsidP="004B15BF">
      <w:pPr>
        <w:spacing w:line="240" w:lineRule="auto"/>
        <w:contextualSpacing/>
        <w:rPr>
          <w:rFonts w:cs="Arial"/>
          <w:b/>
        </w:rPr>
      </w:pPr>
      <w:r w:rsidRPr="000C7921">
        <w:rPr>
          <w:rFonts w:cs="Arial"/>
          <w:b/>
        </w:rPr>
        <w:t>For further information please contact:</w:t>
      </w:r>
    </w:p>
    <w:p w14:paraId="594ACFEA" w14:textId="77777777" w:rsidR="004B15BF" w:rsidRDefault="004B15BF" w:rsidP="004B15BF">
      <w:pPr>
        <w:spacing w:line="240" w:lineRule="auto"/>
        <w:contextualSpacing/>
        <w:rPr>
          <w:rFonts w:cs="Arial"/>
        </w:rPr>
      </w:pPr>
    </w:p>
    <w:p w14:paraId="26173719" w14:textId="77777777" w:rsidR="004B15BF" w:rsidRPr="00E571D4" w:rsidRDefault="004B15BF" w:rsidP="004B15BF">
      <w:pPr>
        <w:spacing w:line="240" w:lineRule="auto"/>
        <w:contextualSpacing/>
        <w:rPr>
          <w:rFonts w:cs="Arial"/>
          <w:bCs/>
        </w:rPr>
      </w:pPr>
      <w:r w:rsidRPr="00E571D4">
        <w:rPr>
          <w:rFonts w:cs="Arial"/>
        </w:rPr>
        <w:t>Green Building Council South Africa (GBCSA)</w:t>
      </w:r>
    </w:p>
    <w:p w14:paraId="63A993EB" w14:textId="77777777" w:rsidR="004B15BF" w:rsidRPr="00E571D4" w:rsidRDefault="004B15BF" w:rsidP="004B15BF">
      <w:pPr>
        <w:spacing w:before="120" w:after="120" w:line="240" w:lineRule="auto"/>
        <w:contextualSpacing/>
        <w:rPr>
          <w:rFonts w:cs="Arial"/>
        </w:rPr>
      </w:pPr>
      <w:r w:rsidRPr="00E571D4">
        <w:rPr>
          <w:rFonts w:cs="Arial"/>
        </w:rPr>
        <w:t>Gillian Gernetzky, Communications Manager, GBCSA</w:t>
      </w:r>
    </w:p>
    <w:p w14:paraId="7B9C9667" w14:textId="77777777" w:rsidR="004B15BF" w:rsidRPr="00E571D4" w:rsidRDefault="004B15BF" w:rsidP="004B15BF">
      <w:pPr>
        <w:spacing w:before="120" w:after="120" w:line="240" w:lineRule="auto"/>
        <w:contextualSpacing/>
        <w:rPr>
          <w:rFonts w:cs="Arial"/>
        </w:rPr>
      </w:pPr>
      <w:r>
        <w:rPr>
          <w:rFonts w:cs="Arial"/>
        </w:rPr>
        <w:t>Tel:  +27 86 104 2272</w:t>
      </w:r>
    </w:p>
    <w:p w14:paraId="4142ED2C" w14:textId="77777777" w:rsidR="004B15BF" w:rsidRDefault="00D133A7" w:rsidP="004B15BF">
      <w:pPr>
        <w:spacing w:before="120" w:after="120" w:line="240" w:lineRule="auto"/>
        <w:contextualSpacing/>
        <w:rPr>
          <w:rStyle w:val="Hyperlink"/>
          <w:rFonts w:cs="Arial"/>
          <w:color w:val="538135" w:themeColor="accent6" w:themeShade="BF"/>
        </w:rPr>
      </w:pPr>
      <w:hyperlink r:id="rId7" w:history="1">
        <w:r w:rsidR="004B15BF" w:rsidRPr="00924995">
          <w:rPr>
            <w:rStyle w:val="Hyperlink"/>
            <w:rFonts w:eastAsia="Times New Roman" w:cs="Arial"/>
            <w:lang w:eastAsia="en-GB"/>
          </w:rPr>
          <w:t>www.gbcsa.org.za</w:t>
        </w:r>
      </w:hyperlink>
      <w:r w:rsidR="004B15BF" w:rsidRPr="00E571D4">
        <w:rPr>
          <w:rStyle w:val="Hyperlink"/>
          <w:rFonts w:cs="Arial"/>
          <w:color w:val="538135" w:themeColor="accent6" w:themeShade="BF"/>
        </w:rPr>
        <w:t xml:space="preserve"> </w:t>
      </w:r>
    </w:p>
    <w:p w14:paraId="010C6BD3" w14:textId="77777777" w:rsidR="004A69E5" w:rsidRDefault="004A69E5" w:rsidP="00590615">
      <w:pPr>
        <w:spacing w:after="0" w:line="276" w:lineRule="auto"/>
      </w:pPr>
    </w:p>
    <w:p w14:paraId="7C68B00C" w14:textId="58E076BC" w:rsidR="00C65B11" w:rsidRPr="00B47160" w:rsidRDefault="009F0E93" w:rsidP="00B47160">
      <w:pPr>
        <w:spacing w:line="276" w:lineRule="auto"/>
        <w:rPr>
          <w:rFonts w:eastAsia="Times New Roman"/>
          <w:b/>
          <w:u w:val="single"/>
        </w:rPr>
      </w:pPr>
      <w:r>
        <w:rPr>
          <w:rFonts w:eastAsia="Times New Roman"/>
          <w:noProof/>
          <w:lang w:val="en-US"/>
        </w:rPr>
        <mc:AlternateContent>
          <mc:Choice Requires="wps">
            <w:drawing>
              <wp:anchor distT="0" distB="0" distL="114300" distR="114300" simplePos="0" relativeHeight="251659264" behindDoc="0" locked="0" layoutInCell="1" allowOverlap="1" wp14:anchorId="02F705A3" wp14:editId="69AAD32E">
                <wp:simplePos x="0" y="0"/>
                <wp:positionH relativeFrom="column">
                  <wp:posOffset>8890</wp:posOffset>
                </wp:positionH>
                <wp:positionV relativeFrom="paragraph">
                  <wp:posOffset>93345</wp:posOffset>
                </wp:positionV>
                <wp:extent cx="58959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58959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CC6101"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pt,7.35pt" to="464.95pt,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" strokecolor="black [3200]" strokeweight=".5pt">
                <v:stroke joinstyle="miter"/>
              </v:line>
            </w:pict>
          </mc:Fallback>
        </mc:AlternateContent>
      </w:r>
    </w:p>
    <w:p w14:paraId="63CB2062" w14:textId="1304A8BE" w:rsidR="00B47160" w:rsidRPr="00B47160" w:rsidRDefault="00B47160" w:rsidP="005F1085">
      <w:pPr>
        <w:rPr>
          <w:rFonts w:eastAsia="Times New Roman"/>
          <w:b/>
          <w:u w:val="single"/>
        </w:rPr>
      </w:pPr>
      <w:r w:rsidRPr="00B47160">
        <w:rPr>
          <w:rFonts w:eastAsia="Times New Roman"/>
          <w:b/>
          <w:u w:val="single"/>
        </w:rPr>
        <w:t xml:space="preserve">Notes </w:t>
      </w:r>
      <w:r>
        <w:rPr>
          <w:rFonts w:eastAsia="Times New Roman"/>
          <w:b/>
          <w:u w:val="single"/>
        </w:rPr>
        <w:t>to editors</w:t>
      </w:r>
    </w:p>
    <w:p w14:paraId="223F7F1F" w14:textId="02A646D1" w:rsidR="00590615" w:rsidRPr="00B47160" w:rsidRDefault="00590615" w:rsidP="005F1085">
      <w:pPr>
        <w:rPr>
          <w:rFonts w:eastAsia="Times New Roman"/>
          <w:b/>
        </w:rPr>
      </w:pPr>
      <w:r w:rsidRPr="00B47160">
        <w:rPr>
          <w:rFonts w:eastAsia="Times New Roman"/>
          <w:b/>
        </w:rPr>
        <w:t>The nuts and bolts of the Green Star – Communities tool:</w:t>
      </w:r>
    </w:p>
    <w:p w14:paraId="006BEAD2" w14:textId="77777777" w:rsidR="00590615" w:rsidRDefault="00590615" w:rsidP="00590615">
      <w:pPr>
        <w:spacing w:line="276" w:lineRule="auto"/>
        <w:rPr>
          <w:rFonts w:eastAsia="Times New Roman"/>
        </w:rPr>
      </w:pPr>
      <w:r w:rsidRPr="00694D53">
        <w:rPr>
          <w:rFonts w:eastAsia="Times New Roman"/>
        </w:rPr>
        <w:t xml:space="preserve">Green Star – Communities assesses projects against a holistic set of </w:t>
      </w:r>
      <w:r>
        <w:rPr>
          <w:rFonts w:eastAsia="Times New Roman"/>
        </w:rPr>
        <w:t xml:space="preserve">distinct social, environmental, </w:t>
      </w:r>
      <w:r w:rsidRPr="00694D53">
        <w:rPr>
          <w:rFonts w:eastAsia="Times New Roman"/>
        </w:rPr>
        <w:t>and economic categories, and an innovation categ</w:t>
      </w:r>
      <w:r>
        <w:rPr>
          <w:rFonts w:eastAsia="Times New Roman"/>
        </w:rPr>
        <w:t>ory. The categories are:</w:t>
      </w:r>
    </w:p>
    <w:p w14:paraId="471C3542" w14:textId="77777777" w:rsidR="00590615" w:rsidRDefault="00590615" w:rsidP="00590615">
      <w:pPr>
        <w:pStyle w:val="ListParagraph"/>
        <w:numPr>
          <w:ilvl w:val="0"/>
          <w:numId w:val="2"/>
        </w:numPr>
        <w:spacing w:line="276" w:lineRule="auto"/>
        <w:rPr>
          <w:rFonts w:eastAsia="Times New Roman"/>
        </w:rPr>
      </w:pPr>
      <w:r w:rsidRPr="00694D53">
        <w:rPr>
          <w:rFonts w:eastAsia="Times New Roman"/>
        </w:rPr>
        <w:t>Governance;</w:t>
      </w:r>
    </w:p>
    <w:p w14:paraId="2033FCF2" w14:textId="77777777" w:rsidR="00590615" w:rsidRDefault="00590615" w:rsidP="00590615">
      <w:pPr>
        <w:pStyle w:val="ListParagraph"/>
        <w:numPr>
          <w:ilvl w:val="0"/>
          <w:numId w:val="2"/>
        </w:numPr>
        <w:spacing w:line="276" w:lineRule="auto"/>
        <w:rPr>
          <w:rFonts w:eastAsia="Times New Roman"/>
        </w:rPr>
      </w:pPr>
      <w:r w:rsidRPr="00694D53">
        <w:rPr>
          <w:rFonts w:eastAsia="Times New Roman"/>
        </w:rPr>
        <w:t>Liveability;</w:t>
      </w:r>
    </w:p>
    <w:p w14:paraId="057B984C" w14:textId="77777777" w:rsidR="00590615" w:rsidRDefault="00590615" w:rsidP="00590615">
      <w:pPr>
        <w:pStyle w:val="ListParagraph"/>
        <w:numPr>
          <w:ilvl w:val="0"/>
          <w:numId w:val="2"/>
        </w:numPr>
        <w:spacing w:line="276" w:lineRule="auto"/>
        <w:rPr>
          <w:rFonts w:eastAsia="Times New Roman"/>
        </w:rPr>
      </w:pPr>
      <w:r w:rsidRPr="00694D53">
        <w:rPr>
          <w:rFonts w:eastAsia="Times New Roman"/>
        </w:rPr>
        <w:t>Economic Prosperity;</w:t>
      </w:r>
    </w:p>
    <w:p w14:paraId="718E60EA" w14:textId="77777777" w:rsidR="00590615" w:rsidRDefault="00590615" w:rsidP="00590615">
      <w:pPr>
        <w:pStyle w:val="ListParagraph"/>
        <w:numPr>
          <w:ilvl w:val="0"/>
          <w:numId w:val="2"/>
        </w:numPr>
        <w:spacing w:line="276" w:lineRule="auto"/>
        <w:rPr>
          <w:rFonts w:eastAsia="Times New Roman"/>
        </w:rPr>
      </w:pPr>
      <w:r w:rsidRPr="00694D53">
        <w:rPr>
          <w:rFonts w:eastAsia="Times New Roman"/>
        </w:rPr>
        <w:t>Environment; and</w:t>
      </w:r>
    </w:p>
    <w:p w14:paraId="7E28F1E2" w14:textId="77777777" w:rsidR="00590615" w:rsidRPr="00694D53" w:rsidRDefault="00590615" w:rsidP="00590615">
      <w:pPr>
        <w:pStyle w:val="ListParagraph"/>
        <w:numPr>
          <w:ilvl w:val="0"/>
          <w:numId w:val="2"/>
        </w:numPr>
        <w:spacing w:line="276" w:lineRule="auto"/>
        <w:rPr>
          <w:rFonts w:eastAsia="Times New Roman"/>
        </w:rPr>
      </w:pPr>
      <w:r w:rsidRPr="00694D53">
        <w:rPr>
          <w:rFonts w:eastAsia="Times New Roman"/>
        </w:rPr>
        <w:t>Innovation.</w:t>
      </w:r>
    </w:p>
    <w:p w14:paraId="03D45521" w14:textId="77777777" w:rsidR="00590615" w:rsidRPr="00694D53" w:rsidRDefault="00590615" w:rsidP="00590615">
      <w:pPr>
        <w:spacing w:line="276" w:lineRule="auto"/>
        <w:rPr>
          <w:rFonts w:eastAsia="Times New Roman"/>
        </w:rPr>
      </w:pPr>
      <w:r w:rsidRPr="00694D53">
        <w:rPr>
          <w:rFonts w:eastAsia="Times New Roman"/>
        </w:rPr>
        <w:t>Each category groups a number of issues related to a certain sustain</w:t>
      </w:r>
      <w:r>
        <w:rPr>
          <w:rFonts w:eastAsia="Times New Roman"/>
        </w:rPr>
        <w:t>ability impact, which are referred to as</w:t>
      </w:r>
      <w:r w:rsidRPr="00694D53">
        <w:rPr>
          <w:rFonts w:eastAsia="Times New Roman"/>
        </w:rPr>
        <w:t xml:space="preserve"> Credits. A Credit addresses an initiative (or set of initiatives) that has the potential to improve a</w:t>
      </w:r>
      <w:r>
        <w:rPr>
          <w:rFonts w:eastAsia="Times New Roman"/>
        </w:rPr>
        <w:t xml:space="preserve"> </w:t>
      </w:r>
      <w:r w:rsidRPr="00694D53">
        <w:rPr>
          <w:rFonts w:eastAsia="Times New Roman"/>
        </w:rPr>
        <w:lastRenderedPageBreak/>
        <w:t>project’s sustainability performance. Each of these initiatives is a credit criterion.</w:t>
      </w:r>
      <w:r>
        <w:rPr>
          <w:rFonts w:eastAsia="Times New Roman"/>
        </w:rPr>
        <w:t xml:space="preserve"> </w:t>
      </w:r>
      <w:r w:rsidRPr="00694D53">
        <w:rPr>
          <w:rFonts w:eastAsia="Times New Roman"/>
        </w:rPr>
        <w:t>Credits are weighted, in relation to each other, by varying the number of points that are available for</w:t>
      </w:r>
      <w:r>
        <w:rPr>
          <w:rFonts w:eastAsia="Times New Roman"/>
        </w:rPr>
        <w:t xml:space="preserve"> credit criteria</w:t>
      </w:r>
      <w:r w:rsidRPr="00694D53">
        <w:rPr>
          <w:rFonts w:eastAsia="Times New Roman"/>
        </w:rPr>
        <w:t xml:space="preserve"> in each credit. Each credit criterion defines a clear outcome or process that the</w:t>
      </w:r>
      <w:r>
        <w:rPr>
          <w:rFonts w:eastAsia="Times New Roman"/>
        </w:rPr>
        <w:t xml:space="preserve"> </w:t>
      </w:r>
      <w:r w:rsidRPr="00694D53">
        <w:rPr>
          <w:rFonts w:eastAsia="Times New Roman"/>
        </w:rPr>
        <w:t>registered project must meet. Where the outcome or process is verified to have been met, the project</w:t>
      </w:r>
      <w:r>
        <w:rPr>
          <w:rFonts w:eastAsia="Times New Roman"/>
        </w:rPr>
        <w:t xml:space="preserve"> </w:t>
      </w:r>
      <w:r w:rsidRPr="00694D53">
        <w:rPr>
          <w:rFonts w:eastAsia="Times New Roman"/>
        </w:rPr>
        <w:t>will be awarded the relevant points.</w:t>
      </w:r>
    </w:p>
    <w:p w14:paraId="03D2875E" w14:textId="77777777" w:rsidR="00590615" w:rsidRDefault="00590615" w:rsidP="00590615">
      <w:pPr>
        <w:spacing w:line="276" w:lineRule="auto"/>
        <w:rPr>
          <w:rFonts w:eastAsia="Times New Roman"/>
        </w:rPr>
      </w:pPr>
      <w:r w:rsidRPr="00694D53">
        <w:rPr>
          <w:rFonts w:eastAsia="Times New Roman"/>
        </w:rPr>
        <w:t>Once all credits are assessed, the total number of points achieved by the project is calculated and</w:t>
      </w:r>
      <w:r>
        <w:rPr>
          <w:rFonts w:eastAsia="Times New Roman"/>
        </w:rPr>
        <w:t xml:space="preserve"> </w:t>
      </w:r>
      <w:r w:rsidRPr="00694D53">
        <w:rPr>
          <w:rFonts w:eastAsia="Times New Roman"/>
        </w:rPr>
        <w:t xml:space="preserve">compared against the total points available in the rating tool. The certified rating is </w:t>
      </w:r>
      <w:r>
        <w:rPr>
          <w:rFonts w:eastAsia="Times New Roman"/>
        </w:rPr>
        <w:t xml:space="preserve">awarded based on </w:t>
      </w:r>
      <w:r w:rsidRPr="00694D53">
        <w:rPr>
          <w:rFonts w:eastAsia="Times New Roman"/>
        </w:rPr>
        <w:t>the number of points achieved.</w:t>
      </w:r>
      <w:r>
        <w:rPr>
          <w:rFonts w:eastAsia="Times New Roman"/>
        </w:rPr>
        <w:t xml:space="preserve"> </w:t>
      </w:r>
    </w:p>
    <w:p w14:paraId="3E9FD35A" w14:textId="77777777" w:rsidR="00590615" w:rsidRDefault="00590615" w:rsidP="00590615">
      <w:pPr>
        <w:spacing w:line="276" w:lineRule="auto"/>
        <w:rPr>
          <w:rFonts w:eastAsia="Times New Roman"/>
        </w:rPr>
      </w:pPr>
      <w:r w:rsidRPr="00694D53">
        <w:rPr>
          <w:rFonts w:eastAsia="Times New Roman"/>
        </w:rPr>
        <w:t>Green Star – Communities certification identifies projects that have demonstrated the achievement of</w:t>
      </w:r>
      <w:r>
        <w:rPr>
          <w:rFonts w:eastAsia="Times New Roman"/>
        </w:rPr>
        <w:t xml:space="preserve"> </w:t>
      </w:r>
      <w:r w:rsidRPr="00694D53">
        <w:rPr>
          <w:rFonts w:eastAsia="Times New Roman"/>
        </w:rPr>
        <w:t>a specific level of sustainability. The rating describes the sustainability attributes of the project, to the</w:t>
      </w:r>
      <w:r>
        <w:rPr>
          <w:rFonts w:eastAsia="Times New Roman"/>
        </w:rPr>
        <w:t xml:space="preserve"> </w:t>
      </w:r>
      <w:r w:rsidRPr="00694D53">
        <w:rPr>
          <w:rFonts w:eastAsia="Times New Roman"/>
        </w:rPr>
        <w:t>industry and the public, in terms that are widely understood and accepted.</w:t>
      </w:r>
    </w:p>
    <w:p w14:paraId="40B32663" w14:textId="77777777" w:rsidR="00941948" w:rsidRDefault="00941948" w:rsidP="00B47160">
      <w:pPr>
        <w:spacing w:line="276" w:lineRule="auto"/>
        <w:rPr>
          <w:rFonts w:ascii="Calibri" w:hAnsi="Calibri" w:cs="Arial"/>
          <w:b/>
          <w:iCs/>
        </w:rPr>
      </w:pPr>
    </w:p>
    <w:p w14:paraId="4D04DBE5" w14:textId="46023A01" w:rsidR="00B47160" w:rsidRDefault="00845EB2" w:rsidP="00B47160">
      <w:pPr>
        <w:spacing w:line="276" w:lineRule="auto"/>
        <w:rPr>
          <w:rFonts w:eastAsia="Times New Roman"/>
        </w:rPr>
      </w:pPr>
      <w:r>
        <w:rPr>
          <w:rFonts w:ascii="Calibri" w:hAnsi="Calibri" w:cs="Arial"/>
          <w:b/>
          <w:iCs/>
        </w:rPr>
        <w:t>About the pilot p</w:t>
      </w:r>
      <w:r w:rsidR="00B47160">
        <w:rPr>
          <w:rFonts w:ascii="Calibri" w:hAnsi="Calibri" w:cs="Arial"/>
          <w:b/>
          <w:iCs/>
        </w:rPr>
        <w:t>rojects</w:t>
      </w:r>
      <w:r w:rsidR="00BA53A4">
        <w:rPr>
          <w:rFonts w:ascii="Calibri" w:hAnsi="Calibri" w:cs="Arial"/>
          <w:b/>
          <w:iCs/>
        </w:rPr>
        <w:t xml:space="preserve"> that are currently targeting Green Star – Communities certification:</w:t>
      </w:r>
    </w:p>
    <w:p w14:paraId="04966564" w14:textId="77777777" w:rsidR="00B47160" w:rsidRPr="00AA0C3C" w:rsidRDefault="00B47160" w:rsidP="00BF645C">
      <w:pPr>
        <w:spacing w:after="0" w:line="276" w:lineRule="auto"/>
        <w:rPr>
          <w:b/>
        </w:rPr>
      </w:pPr>
      <w:r w:rsidRPr="00AA0C3C">
        <w:rPr>
          <w:b/>
        </w:rPr>
        <w:t>Braamfontein West, Johannesburg, led by EcoCentric</w:t>
      </w:r>
    </w:p>
    <w:p w14:paraId="5AEC54CD" w14:textId="241FFB23" w:rsidR="00555D9F" w:rsidRDefault="00555D9F" w:rsidP="00BF645C">
      <w:pPr>
        <w:spacing w:after="0" w:line="276" w:lineRule="auto"/>
      </w:pPr>
      <w:r>
        <w:t>This precinct, bordered by the M1 to the west and Wits University to the north, is a vibrant mix of small businesses, commercial office buildings, student residential accommodation and educational institutions, including the Tshimologong Precinct, Wit</w:t>
      </w:r>
      <w:r w:rsidR="004B15BF">
        <w:t>s University’s</w:t>
      </w:r>
      <w:r>
        <w:t xml:space="preserve"> tech hub. The existing precinct is in need of regeneration and the Green Star – Communities tool will be used to guide the precinct towards environmental and social resilience; a healthier and safer community; robust economic infrastructure and efficient resource management. </w:t>
      </w:r>
    </w:p>
    <w:p w14:paraId="4CF904CD" w14:textId="77777777" w:rsidR="00555D9F" w:rsidRDefault="00555D9F" w:rsidP="00555D9F">
      <w:pPr>
        <w:spacing w:after="0" w:line="276" w:lineRule="auto"/>
        <w:ind w:left="360"/>
      </w:pPr>
    </w:p>
    <w:p w14:paraId="18BC58B7" w14:textId="77777777" w:rsidR="00B47160" w:rsidRPr="00AA0C3C" w:rsidRDefault="00B47160" w:rsidP="00BF645C">
      <w:pPr>
        <w:spacing w:after="0" w:line="276" w:lineRule="auto"/>
        <w:rPr>
          <w:b/>
        </w:rPr>
      </w:pPr>
      <w:r w:rsidRPr="00AA0C3C">
        <w:rPr>
          <w:b/>
        </w:rPr>
        <w:t>Blue Rock, Somerset West, developed by Swisatec</w:t>
      </w:r>
    </w:p>
    <w:p w14:paraId="33030B68" w14:textId="5AF86F10" w:rsidR="00555D9F" w:rsidRDefault="00BF645C" w:rsidP="00BF645C">
      <w:pPr>
        <w:spacing w:after="0" w:line="276" w:lineRule="auto"/>
      </w:pPr>
      <w:r>
        <w:t>A thoroughly</w:t>
      </w:r>
      <w:r w:rsidR="004E12CC">
        <w:t xml:space="preserve"> unique development </w:t>
      </w:r>
      <w:r>
        <w:t xml:space="preserve">which </w:t>
      </w:r>
      <w:r w:rsidR="004E12CC">
        <w:t>will comprise a hotel and conference centre, commercial offices, healthcare facilities, a restaurant and lifestyle centre, as well as a multi-unit residential estate in a car-free living environment. Lifestyle</w:t>
      </w:r>
      <w:r w:rsidR="004B15BF">
        <w:t>-</w:t>
      </w:r>
      <w:r w:rsidR="004E12CC">
        <w:t>enhancing initiatives include landscape trails for jogging, mountain biking and walking; a Vita Parcour permanent fitness trail offering outdoor exercise courses; and a host of water sports on the central quarry dam.</w:t>
      </w:r>
      <w:r>
        <w:t xml:space="preserve"> Innovative sustainability features include on-site solar energy production and electric shuttle vehicles.</w:t>
      </w:r>
    </w:p>
    <w:p w14:paraId="5DD987C3" w14:textId="77777777" w:rsidR="004E12CC" w:rsidRDefault="004E12CC" w:rsidP="00555D9F">
      <w:pPr>
        <w:spacing w:after="0" w:line="276" w:lineRule="auto"/>
        <w:ind w:left="360"/>
      </w:pPr>
    </w:p>
    <w:p w14:paraId="7833790B" w14:textId="35D12FC5" w:rsidR="00CD755E" w:rsidRPr="00525739" w:rsidRDefault="00CD755E" w:rsidP="00CD755E">
      <w:pPr>
        <w:spacing w:line="276" w:lineRule="auto"/>
      </w:pPr>
      <w:r w:rsidRPr="00941948">
        <w:rPr>
          <w:b/>
        </w:rPr>
        <w:t xml:space="preserve">Garden Cities: Phase 13 Sunningdale, Cape Town, developed by Garden Cities </w:t>
      </w:r>
      <w:r w:rsidRPr="00AA0C3C">
        <w:rPr>
          <w:b/>
          <w:i/>
          <w:iCs/>
        </w:rPr>
        <w:br/>
      </w:r>
      <w:r w:rsidRPr="00525739">
        <w:t>Situated on the West Coast, just north of Tableview in the Western Cape, Sunningdale, the anticipated village is a 566,100 m² gated residential community. Phase 13 A comprises 427 residential units, and a community centre and education facility, and admin hub. Nature features strongly in the appeal of this development, which borders on the Blaauwberg Nature Reserve, to which Garden Cities has donated 462 hectares. Nature trails, a conservation park, a food garden, parks and cycle paths will all encourage residents to connect with and embrace nature. Sustainability initiatives include solar water heating and LED lighting throughout the residential units and recycling procedures and other green initiatives presently being considered.</w:t>
      </w:r>
    </w:p>
    <w:p w14:paraId="7547AD99" w14:textId="77777777" w:rsidR="00941948" w:rsidRDefault="00941948" w:rsidP="00BF645C">
      <w:pPr>
        <w:spacing w:after="0" w:line="276" w:lineRule="auto"/>
        <w:rPr>
          <w:b/>
        </w:rPr>
      </w:pPr>
    </w:p>
    <w:p w14:paraId="59DBC4C3" w14:textId="77777777" w:rsidR="00941948" w:rsidRDefault="00941948" w:rsidP="00BF645C">
      <w:pPr>
        <w:spacing w:after="0" w:line="276" w:lineRule="auto"/>
        <w:rPr>
          <w:b/>
        </w:rPr>
      </w:pPr>
    </w:p>
    <w:p w14:paraId="0F31F86D" w14:textId="3DEE2D2B" w:rsidR="00B47160" w:rsidRPr="00AA0C3C" w:rsidRDefault="00B47160" w:rsidP="00BF645C">
      <w:pPr>
        <w:spacing w:after="0" w:line="276" w:lineRule="auto"/>
        <w:rPr>
          <w:b/>
        </w:rPr>
      </w:pPr>
      <w:r w:rsidRPr="00AA0C3C">
        <w:rPr>
          <w:b/>
        </w:rPr>
        <w:lastRenderedPageBreak/>
        <w:t>Kgoro Precinct, Johannesburg, developed by Ceder Park Properties</w:t>
      </w:r>
    </w:p>
    <w:p w14:paraId="57156FF7" w14:textId="608670BC" w:rsidR="00F83035" w:rsidRDefault="00F83035" w:rsidP="00BF645C">
      <w:pPr>
        <w:spacing w:after="0" w:line="276" w:lineRule="auto"/>
      </w:pPr>
      <w:r>
        <w:t xml:space="preserve">A 200 000m² mixed use development, Kgoro Precinct </w:t>
      </w:r>
      <w:r w:rsidR="002316FE">
        <w:t>is situated in the very heart of Sandton. The precinct offers offices, retail – including on-street</w:t>
      </w:r>
      <w:r w:rsidR="004B15BF">
        <w:t xml:space="preserve"> retail</w:t>
      </w:r>
      <w:r w:rsidR="002316FE">
        <w:t>, hotels, residential and civic/cultural buildings, as well as 4 200 parking bays. A large public square is designed to be the social anchor of community life that promotes broader, more creative interaction. The inclusion of an energy centre, with a view to providing cleaner energy generation, as well as an emphasis on pedestrian and alternative transport usage set this precinct apart.</w:t>
      </w:r>
    </w:p>
    <w:p w14:paraId="66EA3EB9" w14:textId="77777777" w:rsidR="002316FE" w:rsidRDefault="002316FE" w:rsidP="00F83035">
      <w:pPr>
        <w:spacing w:after="0" w:line="276" w:lineRule="auto"/>
        <w:ind w:left="360"/>
      </w:pPr>
    </w:p>
    <w:p w14:paraId="0B1439BA" w14:textId="77777777" w:rsidR="00B47160" w:rsidRPr="00AA0C3C" w:rsidRDefault="00B47160" w:rsidP="00BF645C">
      <w:pPr>
        <w:spacing w:after="0" w:line="276" w:lineRule="auto"/>
        <w:rPr>
          <w:b/>
        </w:rPr>
      </w:pPr>
      <w:r w:rsidRPr="00AA0C3C">
        <w:rPr>
          <w:b/>
        </w:rPr>
        <w:t>Menlyn Maine, Tshwane, developed by Menlyn Maine Holdings</w:t>
      </w:r>
    </w:p>
    <w:p w14:paraId="719F7B0D" w14:textId="62E7EDDD" w:rsidR="00C017DF" w:rsidRDefault="00C017DF" w:rsidP="00BF645C">
      <w:pPr>
        <w:spacing w:after="0" w:line="276" w:lineRule="auto"/>
      </w:pPr>
      <w:r>
        <w:t xml:space="preserve">Menlyn Maine is a mixed used precinct in the City of Tshwane comprising nineteen buildings that will encompass commercial office, retail, residential, leisure and entertainment as well as scenic parks. The developers have identified water, energy, transport and waste management as their key sustainability focus areas. The precinct is </w:t>
      </w:r>
      <w:r w:rsidRPr="00C017DF">
        <w:t xml:space="preserve">targeting </w:t>
      </w:r>
      <w:r>
        <w:t>at least a</w:t>
      </w:r>
      <w:r w:rsidRPr="00C017DF">
        <w:t xml:space="preserve"> </w:t>
      </w:r>
      <w:hyperlink r:id="rId8" w:history="1">
        <w:r w:rsidRPr="00C017DF">
          <w:rPr>
            <w:bCs/>
          </w:rPr>
          <w:t>4-star Green Star rating</w:t>
        </w:r>
      </w:hyperlink>
      <w:r w:rsidRPr="00C017DF">
        <w:t xml:space="preserve"> for</w:t>
      </w:r>
      <w:r>
        <w:t xml:space="preserve"> each building, and a Green Star Communities rating for the precinct.</w:t>
      </w:r>
    </w:p>
    <w:p w14:paraId="701B2FF4" w14:textId="77777777" w:rsidR="00C017DF" w:rsidRDefault="00C017DF" w:rsidP="00C017DF">
      <w:pPr>
        <w:spacing w:after="0" w:line="276" w:lineRule="auto"/>
        <w:ind w:left="360"/>
      </w:pPr>
    </w:p>
    <w:p w14:paraId="21F75D07" w14:textId="77777777" w:rsidR="00B47160" w:rsidRPr="00AA0C3C" w:rsidRDefault="00B47160" w:rsidP="00845EB2">
      <w:pPr>
        <w:spacing w:after="0" w:line="276" w:lineRule="auto"/>
        <w:rPr>
          <w:b/>
        </w:rPr>
      </w:pPr>
      <w:r w:rsidRPr="00AA0C3C">
        <w:rPr>
          <w:b/>
        </w:rPr>
        <w:t>Nature’s Path Lifestyle Village, Keurbooms, Plettenberg Bay, developed by PMG Africa</w:t>
      </w:r>
    </w:p>
    <w:p w14:paraId="7C58B241" w14:textId="5DCA652F" w:rsidR="002316FE" w:rsidRDefault="002316FE" w:rsidP="00845EB2">
      <w:pPr>
        <w:spacing w:after="0" w:line="276" w:lineRule="auto"/>
      </w:pPr>
      <w:r>
        <w:t xml:space="preserve">Located between Plettenberg Bay and Keurbooms on the scenic Garden Route, this 26.8 hectare residential development will boast </w:t>
      </w:r>
      <w:r w:rsidR="0081320B">
        <w:t xml:space="preserve">98 homes centred around a wellness centre and restorative gardens, and surrounded by </w:t>
      </w:r>
      <w:r>
        <w:t>11 hectares</w:t>
      </w:r>
      <w:r w:rsidR="0081320B">
        <w:t xml:space="preserve"> of protected nature reserve. Noteworthy sustainability features of the development include complete lifecycle analysis of materials used; excellent water management including rainwater harvesting, domestic grey water systems and at the wellness centre, and water saving taps and fittings; and the installation of smart meters.</w:t>
      </w:r>
    </w:p>
    <w:p w14:paraId="2F39F720" w14:textId="77777777" w:rsidR="0081320B" w:rsidRDefault="0081320B" w:rsidP="002316FE">
      <w:pPr>
        <w:spacing w:after="0" w:line="276" w:lineRule="auto"/>
        <w:ind w:left="360"/>
      </w:pPr>
    </w:p>
    <w:p w14:paraId="29B8A1D2" w14:textId="77777777" w:rsidR="00B47160" w:rsidRPr="00AA0C3C" w:rsidRDefault="00B47160" w:rsidP="00845EB2">
      <w:pPr>
        <w:spacing w:after="0" w:line="276" w:lineRule="auto"/>
        <w:rPr>
          <w:b/>
        </w:rPr>
      </w:pPr>
      <w:r w:rsidRPr="00AA0C3C">
        <w:rPr>
          <w:b/>
        </w:rPr>
        <w:t>Oxford Parks, Johannesburg, developed by Intaprop</w:t>
      </w:r>
    </w:p>
    <w:p w14:paraId="62F23C92" w14:textId="77777777" w:rsidR="00BA53A4" w:rsidRDefault="00BA53A4" w:rsidP="00BA53A4">
      <w:pPr>
        <w:spacing w:after="0" w:line="276" w:lineRule="auto"/>
      </w:pPr>
      <w:r>
        <w:t xml:space="preserve">Developed by </w:t>
      </w:r>
      <w:hyperlink r:id="rId9" w:tgtFrame="_blank" w:history="1">
        <w:r w:rsidRPr="00BA53A4">
          <w:t>Intaprop</w:t>
        </w:r>
      </w:hyperlink>
      <w:r>
        <w:t>, this exceptional mixed-use precinct links the Illovo Boulevard with the Rosebank node and will include residential, retail and commercial office typologies, creating a socially and economically interconnected City experience. In line with the principles of a ‘resilient city’, sustainability features will look at creating a pedestrian and cycle friendly public environment; the adaptability of buildings over time; the robustness and flexibility of public spaces; sustainable ways of dealing with stormwater, water and air pollution, shading and cooling; and energy and water efficiencies at building and precinct level. The precinct will target individual building ratings on the commercial mixed use buildings.</w:t>
      </w:r>
    </w:p>
    <w:p w14:paraId="1B4BEB56" w14:textId="77777777" w:rsidR="00C017DF" w:rsidRDefault="00C017DF" w:rsidP="00C017DF">
      <w:pPr>
        <w:spacing w:after="0" w:line="276" w:lineRule="auto"/>
        <w:ind w:left="360"/>
      </w:pPr>
    </w:p>
    <w:p w14:paraId="39DE218E" w14:textId="77777777" w:rsidR="00AA0C3C" w:rsidRPr="00AA0C3C" w:rsidRDefault="00AA0C3C" w:rsidP="00AA0C3C">
      <w:pPr>
        <w:spacing w:after="0" w:line="276" w:lineRule="auto"/>
        <w:rPr>
          <w:b/>
        </w:rPr>
      </w:pPr>
      <w:r w:rsidRPr="00AA0C3C">
        <w:rPr>
          <w:b/>
        </w:rPr>
        <w:t>Sandton Gate, Johannesburg, developed by a joint venture between Abland &amp; Tiber</w:t>
      </w:r>
    </w:p>
    <w:p w14:paraId="19BA2133" w14:textId="77777777" w:rsidR="00AA0C3C" w:rsidRPr="00C017DF" w:rsidRDefault="00AA0C3C" w:rsidP="00AA0C3C">
      <w:pPr>
        <w:spacing w:after="0" w:line="276" w:lineRule="auto"/>
      </w:pPr>
      <w:r>
        <w:t>A</w:t>
      </w:r>
      <w:r w:rsidRPr="00C017DF">
        <w:t xml:space="preserve"> mixed use development on the </w:t>
      </w:r>
      <w:r>
        <w:t>perimeter</w:t>
      </w:r>
      <w:r w:rsidRPr="00C017DF">
        <w:t xml:space="preserve"> of the </w:t>
      </w:r>
      <w:hyperlink r:id="rId10" w:tgtFrame="_blank" w:history="1">
        <w:r w:rsidRPr="00C017DF">
          <w:t>Sandton Central Business District</w:t>
        </w:r>
      </w:hyperlink>
      <w:r>
        <w:t xml:space="preserve">, Sandton Gate </w:t>
      </w:r>
      <w:r w:rsidRPr="00C017DF">
        <w:t xml:space="preserve">falls within a High Priority Area (Public Transport Management Area) in terms of the </w:t>
      </w:r>
      <w:hyperlink r:id="rId11" w:tgtFrame="_blank" w:history="1">
        <w:r w:rsidRPr="00C017DF">
          <w:t>Growth Management Strategy of the City of Johannesburg</w:t>
        </w:r>
      </w:hyperlink>
      <w:r w:rsidRPr="00C017DF">
        <w:t>. The deve</w:t>
      </w:r>
      <w:r>
        <w:t>lopment will be carried out in multiple</w:t>
      </w:r>
      <w:r w:rsidRPr="00C017DF">
        <w:t xml:space="preserve"> phases, the first of which is planned to break ground in the </w:t>
      </w:r>
      <w:r>
        <w:t>latter half</w:t>
      </w:r>
      <w:r w:rsidRPr="00C017DF">
        <w:t xml:space="preserve"> of 2017.</w:t>
      </w:r>
      <w:r>
        <w:t xml:space="preserve"> </w:t>
      </w:r>
      <w:r w:rsidRPr="00C017DF">
        <w:t xml:space="preserve">At approximately </w:t>
      </w:r>
      <w:r>
        <w:t>122,000</w:t>
      </w:r>
      <w:r w:rsidRPr="00C017DF">
        <w:t xml:space="preserve"> </w:t>
      </w:r>
      <w:r>
        <w:rPr>
          <w:rFonts w:eastAsia="Times New Roman"/>
        </w:rPr>
        <w:t>m²</w:t>
      </w:r>
      <w:r w:rsidRPr="00C017DF">
        <w:t>, the precinct will include a mixed use zone, a residential zone and private open space, with bu</w:t>
      </w:r>
      <w:r>
        <w:t>ilding heights ranging between three</w:t>
      </w:r>
      <w:r w:rsidRPr="00C017DF">
        <w:t xml:space="preserve"> and 15 storeys. The precinct will target a Green Star Communities rating</w:t>
      </w:r>
      <w:r>
        <w:t xml:space="preserve">, as well as </w:t>
      </w:r>
      <w:r w:rsidRPr="00C017DF">
        <w:t>individual building ratings on the commercial mixed use buildings.</w:t>
      </w:r>
    </w:p>
    <w:sectPr w:rsidR="00AA0C3C" w:rsidRPr="00C017DF" w:rsidSect="00A0642D">
      <w:headerReference w:type="default" r:id="rId12"/>
      <w:footerReference w:type="even" r:id="rId13"/>
      <w:footerReference w:type="default" r:id="rId14"/>
      <w:pgSz w:w="11906" w:h="16838"/>
      <w:pgMar w:top="2079" w:right="1440" w:bottom="1440" w:left="1276" w:header="426"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AF33B4" w14:textId="77777777" w:rsidR="00D133A7" w:rsidRDefault="00D133A7" w:rsidP="00577CC0">
      <w:pPr>
        <w:spacing w:after="0" w:line="240" w:lineRule="auto"/>
      </w:pPr>
      <w:r>
        <w:separator/>
      </w:r>
    </w:p>
  </w:endnote>
  <w:endnote w:type="continuationSeparator" w:id="0">
    <w:p w14:paraId="0124BF86" w14:textId="77777777" w:rsidR="00D133A7" w:rsidRDefault="00D133A7" w:rsidP="00577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altName w:val="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386466" w14:textId="77777777" w:rsidR="003963A4" w:rsidRPr="006A6810" w:rsidRDefault="003963A4" w:rsidP="00577CC0">
    <w:pPr>
      <w:pStyle w:val="Footer"/>
      <w:jc w:val="both"/>
      <w:rPr>
        <w:color w:val="262626" w:themeColor="text1" w:themeTint="D9"/>
        <w:sz w:val="10"/>
        <w:szCs w:val="10"/>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3098936"/>
      <w:docPartObj>
        <w:docPartGallery w:val="Page Numbers (Bottom of Page)"/>
        <w:docPartUnique/>
      </w:docPartObj>
    </w:sdtPr>
    <w:sdtEndPr>
      <w:rPr>
        <w:color w:val="808080" w:themeColor="background1" w:themeShade="80"/>
        <w:spacing w:val="60"/>
      </w:rPr>
    </w:sdtEndPr>
    <w:sdtContent>
      <w:p w14:paraId="708D7E55" w14:textId="77777777" w:rsidR="003963A4" w:rsidRDefault="003963A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F4959" w:rsidRPr="003F4959">
          <w:rPr>
            <w:b/>
            <w:bCs/>
            <w:noProof/>
          </w:rPr>
          <w:t>2</w:t>
        </w:r>
        <w:r>
          <w:rPr>
            <w:b/>
            <w:bCs/>
            <w:noProof/>
          </w:rPr>
          <w:fldChar w:fldCharType="end"/>
        </w:r>
        <w:r>
          <w:rPr>
            <w:b/>
            <w:bCs/>
          </w:rPr>
          <w:t xml:space="preserve"> | </w:t>
        </w:r>
        <w:r>
          <w:rPr>
            <w:color w:val="808080" w:themeColor="background1" w:themeShade="80"/>
            <w:spacing w:val="60"/>
          </w:rPr>
          <w:t>Page</w:t>
        </w:r>
      </w:p>
    </w:sdtContent>
  </w:sdt>
  <w:p w14:paraId="7F34687A" w14:textId="77777777" w:rsidR="003963A4" w:rsidRPr="00224AEC" w:rsidRDefault="003963A4" w:rsidP="00224AE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53A9DF" w14:textId="77777777" w:rsidR="00D133A7" w:rsidRDefault="00D133A7" w:rsidP="00577CC0">
      <w:pPr>
        <w:spacing w:after="0" w:line="240" w:lineRule="auto"/>
      </w:pPr>
      <w:r>
        <w:separator/>
      </w:r>
    </w:p>
  </w:footnote>
  <w:footnote w:type="continuationSeparator" w:id="0">
    <w:p w14:paraId="7EE7BD99" w14:textId="77777777" w:rsidR="00D133A7" w:rsidRDefault="00D133A7" w:rsidP="00577CC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959FA" w14:textId="77777777" w:rsidR="003963A4" w:rsidRDefault="003963A4" w:rsidP="00F961A0">
    <w:pPr>
      <w:pStyle w:val="Header"/>
      <w:ind w:left="-567"/>
      <w:jc w:val="right"/>
      <w:rPr>
        <w:color w:val="595959" w:themeColor="text1" w:themeTint="A6"/>
        <w:sz w:val="18"/>
        <w:szCs w:val="18"/>
      </w:rPr>
    </w:pPr>
    <w:r w:rsidRPr="00BB3AF3">
      <w:rPr>
        <w:noProof/>
        <w:lang w:val="en-US"/>
      </w:rPr>
      <w:drawing>
        <wp:anchor distT="0" distB="0" distL="114300" distR="114300" simplePos="0" relativeHeight="251658240" behindDoc="0" locked="0" layoutInCell="1" allowOverlap="1" wp14:anchorId="4C1ADAE6" wp14:editId="3D4C87BD">
          <wp:simplePos x="0" y="0"/>
          <wp:positionH relativeFrom="column">
            <wp:posOffset>1895043</wp:posOffset>
          </wp:positionH>
          <wp:positionV relativeFrom="paragraph">
            <wp:posOffset>75196</wp:posOffset>
          </wp:positionV>
          <wp:extent cx="1933575" cy="838200"/>
          <wp:effectExtent l="0" t="0" r="9525" b="0"/>
          <wp:wrapNone/>
          <wp:docPr id="7" name="Picture 7" descr="58591-Stacked logo fc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8591-Stacked logo fc 150"/>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933575" cy="838200"/>
                  </a:xfrm>
                  <a:prstGeom prst="rect">
                    <a:avLst/>
                  </a:prstGeom>
                  <a:noFill/>
                  <a:ln>
                    <a:noFill/>
                  </a:ln>
                </pic:spPr>
              </pic:pic>
            </a:graphicData>
          </a:graphic>
        </wp:anchor>
      </w:drawing>
    </w:r>
  </w:p>
  <w:p w14:paraId="4C7DB744" w14:textId="77777777" w:rsidR="003963A4" w:rsidRDefault="003963A4" w:rsidP="00577CC0">
    <w:pPr>
      <w:pStyle w:val="Header"/>
      <w:jc w:val="both"/>
      <w:rPr>
        <w:color w:val="595959" w:themeColor="text1" w:themeTint="A6"/>
        <w:sz w:val="10"/>
        <w:szCs w:val="10"/>
      </w:rPr>
    </w:pPr>
  </w:p>
  <w:p w14:paraId="0DEC97AE" w14:textId="77777777" w:rsidR="003963A4" w:rsidRDefault="003963A4" w:rsidP="00577CC0">
    <w:pPr>
      <w:pStyle w:val="Header"/>
      <w:jc w:val="both"/>
      <w:rPr>
        <w:color w:val="595959" w:themeColor="text1" w:themeTint="A6"/>
        <w:sz w:val="10"/>
        <w:szCs w:val="10"/>
      </w:rPr>
    </w:pPr>
  </w:p>
  <w:p w14:paraId="488397DF" w14:textId="77777777" w:rsidR="003963A4" w:rsidRDefault="003963A4" w:rsidP="00577CC0">
    <w:pPr>
      <w:pStyle w:val="Header"/>
      <w:jc w:val="both"/>
      <w:rPr>
        <w:color w:val="595959" w:themeColor="text1" w:themeTint="A6"/>
        <w:sz w:val="10"/>
        <w:szCs w:val="10"/>
      </w:rPr>
    </w:pPr>
  </w:p>
  <w:p w14:paraId="7B661F8C" w14:textId="77777777" w:rsidR="003963A4" w:rsidRDefault="003963A4" w:rsidP="00577CC0">
    <w:pPr>
      <w:pStyle w:val="Header"/>
      <w:jc w:val="both"/>
      <w:rPr>
        <w:color w:val="595959" w:themeColor="text1" w:themeTint="A6"/>
        <w:sz w:val="10"/>
        <w:szCs w:val="10"/>
      </w:rPr>
    </w:pPr>
  </w:p>
  <w:p w14:paraId="17D54063" w14:textId="77777777" w:rsidR="003963A4" w:rsidRDefault="003963A4" w:rsidP="00577CC0">
    <w:pPr>
      <w:pStyle w:val="Header"/>
      <w:jc w:val="both"/>
      <w:rPr>
        <w:color w:val="595959" w:themeColor="text1" w:themeTint="A6"/>
        <w:sz w:val="10"/>
        <w:szCs w:val="10"/>
      </w:rPr>
    </w:pPr>
  </w:p>
  <w:p w14:paraId="6B13D99F" w14:textId="77777777" w:rsidR="003963A4" w:rsidRDefault="003963A4" w:rsidP="00577CC0">
    <w:pPr>
      <w:pStyle w:val="Header"/>
      <w:jc w:val="both"/>
      <w:rPr>
        <w:color w:val="595959" w:themeColor="text1" w:themeTint="A6"/>
        <w:sz w:val="10"/>
        <w:szCs w:val="10"/>
      </w:rPr>
    </w:pPr>
  </w:p>
  <w:p w14:paraId="7390A9C9" w14:textId="77777777" w:rsidR="003963A4" w:rsidRDefault="003963A4" w:rsidP="00577CC0">
    <w:pPr>
      <w:pStyle w:val="Header"/>
      <w:jc w:val="both"/>
      <w:rPr>
        <w:color w:val="595959" w:themeColor="text1" w:themeTint="A6"/>
        <w:sz w:val="10"/>
        <w:szCs w:val="10"/>
      </w:rPr>
    </w:pPr>
  </w:p>
  <w:p w14:paraId="0FCE7C22" w14:textId="77777777" w:rsidR="003963A4" w:rsidRDefault="003963A4" w:rsidP="00577CC0">
    <w:pPr>
      <w:pStyle w:val="Header"/>
      <w:jc w:val="both"/>
      <w:rPr>
        <w:color w:val="595959" w:themeColor="text1" w:themeTint="A6"/>
        <w:sz w:val="10"/>
        <w:szCs w:val="10"/>
      </w:rPr>
    </w:pPr>
  </w:p>
  <w:p w14:paraId="7F7CDE6B" w14:textId="77777777" w:rsidR="003963A4" w:rsidRDefault="003963A4" w:rsidP="00577CC0">
    <w:pPr>
      <w:pStyle w:val="Header"/>
      <w:jc w:val="both"/>
      <w:rPr>
        <w:color w:val="595959" w:themeColor="text1" w:themeTint="A6"/>
        <w:sz w:val="10"/>
        <w:szCs w:val="10"/>
      </w:rPr>
    </w:pPr>
  </w:p>
  <w:p w14:paraId="746DA64E" w14:textId="77777777" w:rsidR="003963A4" w:rsidRDefault="003963A4" w:rsidP="00577CC0">
    <w:pPr>
      <w:pStyle w:val="Header"/>
      <w:jc w:val="both"/>
      <w:rPr>
        <w:color w:val="595959" w:themeColor="text1" w:themeTint="A6"/>
        <w:sz w:val="10"/>
        <w:szCs w:val="1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07D98"/>
    <w:multiLevelType w:val="hybridMultilevel"/>
    <w:tmpl w:val="506EE304"/>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1">
    <w:nsid w:val="39860BC2"/>
    <w:multiLevelType w:val="hybridMultilevel"/>
    <w:tmpl w:val="97C2860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nsid w:val="6E580049"/>
    <w:multiLevelType w:val="hybridMultilevel"/>
    <w:tmpl w:val="506EE304"/>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3">
    <w:nsid w:val="708576AF"/>
    <w:multiLevelType w:val="hybridMultilevel"/>
    <w:tmpl w:val="BDF862D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E9B"/>
    <w:rsid w:val="00003FA9"/>
    <w:rsid w:val="000122B7"/>
    <w:rsid w:val="00013782"/>
    <w:rsid w:val="00015EFD"/>
    <w:rsid w:val="0001720E"/>
    <w:rsid w:val="000236AE"/>
    <w:rsid w:val="00027035"/>
    <w:rsid w:val="00034C76"/>
    <w:rsid w:val="00037E35"/>
    <w:rsid w:val="0005107D"/>
    <w:rsid w:val="00060807"/>
    <w:rsid w:val="0007033D"/>
    <w:rsid w:val="00070A3C"/>
    <w:rsid w:val="0007239D"/>
    <w:rsid w:val="00075776"/>
    <w:rsid w:val="000B1723"/>
    <w:rsid w:val="000C0648"/>
    <w:rsid w:val="000C27A5"/>
    <w:rsid w:val="000C50BB"/>
    <w:rsid w:val="000E2686"/>
    <w:rsid w:val="000E69B7"/>
    <w:rsid w:val="000F425B"/>
    <w:rsid w:val="000F6DED"/>
    <w:rsid w:val="001008CE"/>
    <w:rsid w:val="00106452"/>
    <w:rsid w:val="00111347"/>
    <w:rsid w:val="00112785"/>
    <w:rsid w:val="00125E73"/>
    <w:rsid w:val="0013217C"/>
    <w:rsid w:val="00156F04"/>
    <w:rsid w:val="0016107A"/>
    <w:rsid w:val="001616E6"/>
    <w:rsid w:val="0016228B"/>
    <w:rsid w:val="001636AD"/>
    <w:rsid w:val="001700C2"/>
    <w:rsid w:val="00175BA5"/>
    <w:rsid w:val="00175FA4"/>
    <w:rsid w:val="00176768"/>
    <w:rsid w:val="00182A95"/>
    <w:rsid w:val="00187986"/>
    <w:rsid w:val="00191CAE"/>
    <w:rsid w:val="00195782"/>
    <w:rsid w:val="00197FD5"/>
    <w:rsid w:val="001A39F5"/>
    <w:rsid w:val="001B264D"/>
    <w:rsid w:val="001E1416"/>
    <w:rsid w:val="001E22C7"/>
    <w:rsid w:val="00205C79"/>
    <w:rsid w:val="00210292"/>
    <w:rsid w:val="00224AEC"/>
    <w:rsid w:val="002313A5"/>
    <w:rsid w:val="002316FE"/>
    <w:rsid w:val="00231C2A"/>
    <w:rsid w:val="002568BC"/>
    <w:rsid w:val="00263088"/>
    <w:rsid w:val="00266B27"/>
    <w:rsid w:val="0027292C"/>
    <w:rsid w:val="00272C04"/>
    <w:rsid w:val="00277442"/>
    <w:rsid w:val="00285550"/>
    <w:rsid w:val="002A0821"/>
    <w:rsid w:val="002A741C"/>
    <w:rsid w:val="002A7A4B"/>
    <w:rsid w:val="002B4D4C"/>
    <w:rsid w:val="002B54E0"/>
    <w:rsid w:val="002B550F"/>
    <w:rsid w:val="002B5E66"/>
    <w:rsid w:val="002B7434"/>
    <w:rsid w:val="002B7C7F"/>
    <w:rsid w:val="002C001D"/>
    <w:rsid w:val="002C7CD1"/>
    <w:rsid w:val="002D3081"/>
    <w:rsid w:val="002D6041"/>
    <w:rsid w:val="002E1889"/>
    <w:rsid w:val="002E567B"/>
    <w:rsid w:val="002F1687"/>
    <w:rsid w:val="002F1689"/>
    <w:rsid w:val="002F5428"/>
    <w:rsid w:val="002F7F15"/>
    <w:rsid w:val="00303AFD"/>
    <w:rsid w:val="00305447"/>
    <w:rsid w:val="003321ED"/>
    <w:rsid w:val="0034278F"/>
    <w:rsid w:val="003435D9"/>
    <w:rsid w:val="00343B59"/>
    <w:rsid w:val="00343B6F"/>
    <w:rsid w:val="00343C07"/>
    <w:rsid w:val="003458EA"/>
    <w:rsid w:val="00346822"/>
    <w:rsid w:val="003513FC"/>
    <w:rsid w:val="00353D00"/>
    <w:rsid w:val="00353D58"/>
    <w:rsid w:val="003633AF"/>
    <w:rsid w:val="00370DCD"/>
    <w:rsid w:val="00373F40"/>
    <w:rsid w:val="0037435E"/>
    <w:rsid w:val="00375369"/>
    <w:rsid w:val="003764D4"/>
    <w:rsid w:val="0038175A"/>
    <w:rsid w:val="00384E52"/>
    <w:rsid w:val="00391062"/>
    <w:rsid w:val="00395E44"/>
    <w:rsid w:val="003963A4"/>
    <w:rsid w:val="003A1B12"/>
    <w:rsid w:val="003A4B15"/>
    <w:rsid w:val="003B150C"/>
    <w:rsid w:val="003B6A33"/>
    <w:rsid w:val="003B7186"/>
    <w:rsid w:val="003B7F62"/>
    <w:rsid w:val="003C2890"/>
    <w:rsid w:val="003C4066"/>
    <w:rsid w:val="003D66E7"/>
    <w:rsid w:val="003E4DDF"/>
    <w:rsid w:val="003F243A"/>
    <w:rsid w:val="003F4959"/>
    <w:rsid w:val="003F5007"/>
    <w:rsid w:val="003F61A1"/>
    <w:rsid w:val="004017E5"/>
    <w:rsid w:val="00422A52"/>
    <w:rsid w:val="004253F8"/>
    <w:rsid w:val="00426007"/>
    <w:rsid w:val="0042682B"/>
    <w:rsid w:val="00430559"/>
    <w:rsid w:val="00430CF3"/>
    <w:rsid w:val="0043573B"/>
    <w:rsid w:val="00446D82"/>
    <w:rsid w:val="00460126"/>
    <w:rsid w:val="00463BE3"/>
    <w:rsid w:val="00463E9D"/>
    <w:rsid w:val="00476DF9"/>
    <w:rsid w:val="00480042"/>
    <w:rsid w:val="00487681"/>
    <w:rsid w:val="00487A6B"/>
    <w:rsid w:val="004940B3"/>
    <w:rsid w:val="004A0879"/>
    <w:rsid w:val="004A4100"/>
    <w:rsid w:val="004A5706"/>
    <w:rsid w:val="004A69E5"/>
    <w:rsid w:val="004B080E"/>
    <w:rsid w:val="004B15BF"/>
    <w:rsid w:val="004D11C8"/>
    <w:rsid w:val="004D2711"/>
    <w:rsid w:val="004D53E1"/>
    <w:rsid w:val="004E12CC"/>
    <w:rsid w:val="004F32D4"/>
    <w:rsid w:val="004F7115"/>
    <w:rsid w:val="004F72CA"/>
    <w:rsid w:val="004F75AC"/>
    <w:rsid w:val="00502C3A"/>
    <w:rsid w:val="00502EC8"/>
    <w:rsid w:val="00506D38"/>
    <w:rsid w:val="00510674"/>
    <w:rsid w:val="0051393F"/>
    <w:rsid w:val="00520C3C"/>
    <w:rsid w:val="00525739"/>
    <w:rsid w:val="005426BE"/>
    <w:rsid w:val="00547BD2"/>
    <w:rsid w:val="005558A9"/>
    <w:rsid w:val="00555D9F"/>
    <w:rsid w:val="00561228"/>
    <w:rsid w:val="005771B1"/>
    <w:rsid w:val="00577CC0"/>
    <w:rsid w:val="00583F86"/>
    <w:rsid w:val="00590615"/>
    <w:rsid w:val="0059095A"/>
    <w:rsid w:val="005925D7"/>
    <w:rsid w:val="00594A10"/>
    <w:rsid w:val="00596432"/>
    <w:rsid w:val="005A22F9"/>
    <w:rsid w:val="005A2D25"/>
    <w:rsid w:val="005A6A26"/>
    <w:rsid w:val="005B37F3"/>
    <w:rsid w:val="005B4865"/>
    <w:rsid w:val="005C15F8"/>
    <w:rsid w:val="005C605B"/>
    <w:rsid w:val="005C7DC9"/>
    <w:rsid w:val="005D1AB4"/>
    <w:rsid w:val="005E547F"/>
    <w:rsid w:val="005E7D9F"/>
    <w:rsid w:val="005F1085"/>
    <w:rsid w:val="00601D12"/>
    <w:rsid w:val="00601E80"/>
    <w:rsid w:val="006060F8"/>
    <w:rsid w:val="00607EBE"/>
    <w:rsid w:val="00611A4D"/>
    <w:rsid w:val="00613365"/>
    <w:rsid w:val="006140F7"/>
    <w:rsid w:val="00614C9F"/>
    <w:rsid w:val="00616914"/>
    <w:rsid w:val="00656007"/>
    <w:rsid w:val="00661E84"/>
    <w:rsid w:val="006642AC"/>
    <w:rsid w:val="00664B13"/>
    <w:rsid w:val="00667EF5"/>
    <w:rsid w:val="006750A0"/>
    <w:rsid w:val="00675E0B"/>
    <w:rsid w:val="00680EEE"/>
    <w:rsid w:val="00682D98"/>
    <w:rsid w:val="00683F9E"/>
    <w:rsid w:val="0068668B"/>
    <w:rsid w:val="00694D53"/>
    <w:rsid w:val="00695787"/>
    <w:rsid w:val="00696766"/>
    <w:rsid w:val="0069725E"/>
    <w:rsid w:val="006A3499"/>
    <w:rsid w:val="006A6810"/>
    <w:rsid w:val="006A6CEE"/>
    <w:rsid w:val="006B25D4"/>
    <w:rsid w:val="006B359F"/>
    <w:rsid w:val="006C1BA1"/>
    <w:rsid w:val="006C47C2"/>
    <w:rsid w:val="006C5883"/>
    <w:rsid w:val="006D5681"/>
    <w:rsid w:val="006E3C18"/>
    <w:rsid w:val="00703CAA"/>
    <w:rsid w:val="00712B18"/>
    <w:rsid w:val="0071425C"/>
    <w:rsid w:val="0072018F"/>
    <w:rsid w:val="007218B2"/>
    <w:rsid w:val="00724AC3"/>
    <w:rsid w:val="00726195"/>
    <w:rsid w:val="00731DE4"/>
    <w:rsid w:val="00734C18"/>
    <w:rsid w:val="0074088E"/>
    <w:rsid w:val="00743E8D"/>
    <w:rsid w:val="00750B9D"/>
    <w:rsid w:val="00756C86"/>
    <w:rsid w:val="007664A5"/>
    <w:rsid w:val="00766AA5"/>
    <w:rsid w:val="00785143"/>
    <w:rsid w:val="0078639B"/>
    <w:rsid w:val="00791F14"/>
    <w:rsid w:val="0079231F"/>
    <w:rsid w:val="007962E1"/>
    <w:rsid w:val="00796A8C"/>
    <w:rsid w:val="007A65E3"/>
    <w:rsid w:val="007A74F4"/>
    <w:rsid w:val="007C136B"/>
    <w:rsid w:val="007D4165"/>
    <w:rsid w:val="007E76E3"/>
    <w:rsid w:val="007F1134"/>
    <w:rsid w:val="007F2F61"/>
    <w:rsid w:val="00800313"/>
    <w:rsid w:val="00810582"/>
    <w:rsid w:val="00810D6A"/>
    <w:rsid w:val="00812963"/>
    <w:rsid w:val="0081320B"/>
    <w:rsid w:val="00824B37"/>
    <w:rsid w:val="00825A80"/>
    <w:rsid w:val="00825CA0"/>
    <w:rsid w:val="00831AA3"/>
    <w:rsid w:val="00840A7F"/>
    <w:rsid w:val="00845EB2"/>
    <w:rsid w:val="008505FC"/>
    <w:rsid w:val="0086419D"/>
    <w:rsid w:val="00864502"/>
    <w:rsid w:val="008700FC"/>
    <w:rsid w:val="008841D2"/>
    <w:rsid w:val="00891EAE"/>
    <w:rsid w:val="00895FE3"/>
    <w:rsid w:val="008A0955"/>
    <w:rsid w:val="008A6923"/>
    <w:rsid w:val="008A7C00"/>
    <w:rsid w:val="008B1649"/>
    <w:rsid w:val="008B604A"/>
    <w:rsid w:val="008C00C2"/>
    <w:rsid w:val="008C7E4B"/>
    <w:rsid w:val="008D16E9"/>
    <w:rsid w:val="008D21EB"/>
    <w:rsid w:val="008E02BA"/>
    <w:rsid w:val="008E1C9A"/>
    <w:rsid w:val="008E5AE0"/>
    <w:rsid w:val="008E78A9"/>
    <w:rsid w:val="008F4468"/>
    <w:rsid w:val="00912132"/>
    <w:rsid w:val="009122EA"/>
    <w:rsid w:val="009133C5"/>
    <w:rsid w:val="00914A53"/>
    <w:rsid w:val="009151B0"/>
    <w:rsid w:val="009201A5"/>
    <w:rsid w:val="00920361"/>
    <w:rsid w:val="00922356"/>
    <w:rsid w:val="00940C52"/>
    <w:rsid w:val="00941948"/>
    <w:rsid w:val="00942403"/>
    <w:rsid w:val="00956DA6"/>
    <w:rsid w:val="00957CBA"/>
    <w:rsid w:val="0096139A"/>
    <w:rsid w:val="00972058"/>
    <w:rsid w:val="00984A49"/>
    <w:rsid w:val="00986DB7"/>
    <w:rsid w:val="00987548"/>
    <w:rsid w:val="00994157"/>
    <w:rsid w:val="00994697"/>
    <w:rsid w:val="009949A6"/>
    <w:rsid w:val="00997FB4"/>
    <w:rsid w:val="009A40E1"/>
    <w:rsid w:val="009C0C26"/>
    <w:rsid w:val="009C3E50"/>
    <w:rsid w:val="009D0928"/>
    <w:rsid w:val="009E02CC"/>
    <w:rsid w:val="009E3F5D"/>
    <w:rsid w:val="009F0E93"/>
    <w:rsid w:val="009F2314"/>
    <w:rsid w:val="009F407E"/>
    <w:rsid w:val="009F6236"/>
    <w:rsid w:val="00A02C8F"/>
    <w:rsid w:val="00A0642D"/>
    <w:rsid w:val="00A20A2B"/>
    <w:rsid w:val="00A228DC"/>
    <w:rsid w:val="00A25407"/>
    <w:rsid w:val="00A343E9"/>
    <w:rsid w:val="00A42835"/>
    <w:rsid w:val="00A509C6"/>
    <w:rsid w:val="00A56597"/>
    <w:rsid w:val="00A57C96"/>
    <w:rsid w:val="00A63BFE"/>
    <w:rsid w:val="00A672FD"/>
    <w:rsid w:val="00A923C3"/>
    <w:rsid w:val="00A97C8B"/>
    <w:rsid w:val="00AA0C3C"/>
    <w:rsid w:val="00AA23B5"/>
    <w:rsid w:val="00AC1FDE"/>
    <w:rsid w:val="00AC3399"/>
    <w:rsid w:val="00AC4C2D"/>
    <w:rsid w:val="00AD4125"/>
    <w:rsid w:val="00AF03ED"/>
    <w:rsid w:val="00B12027"/>
    <w:rsid w:val="00B14CB1"/>
    <w:rsid w:val="00B1527E"/>
    <w:rsid w:val="00B16186"/>
    <w:rsid w:val="00B17FD5"/>
    <w:rsid w:val="00B232D7"/>
    <w:rsid w:val="00B24AEB"/>
    <w:rsid w:val="00B33E33"/>
    <w:rsid w:val="00B34BF2"/>
    <w:rsid w:val="00B47160"/>
    <w:rsid w:val="00B50682"/>
    <w:rsid w:val="00B5614C"/>
    <w:rsid w:val="00B659DE"/>
    <w:rsid w:val="00B74B35"/>
    <w:rsid w:val="00B76C12"/>
    <w:rsid w:val="00B91DF3"/>
    <w:rsid w:val="00B96C64"/>
    <w:rsid w:val="00BA0B05"/>
    <w:rsid w:val="00BA53A4"/>
    <w:rsid w:val="00BB689D"/>
    <w:rsid w:val="00BC448B"/>
    <w:rsid w:val="00BC5682"/>
    <w:rsid w:val="00BC688F"/>
    <w:rsid w:val="00BC7810"/>
    <w:rsid w:val="00BF07FC"/>
    <w:rsid w:val="00BF645C"/>
    <w:rsid w:val="00C0020D"/>
    <w:rsid w:val="00C0114F"/>
    <w:rsid w:val="00C017DF"/>
    <w:rsid w:val="00C0494D"/>
    <w:rsid w:val="00C12FBF"/>
    <w:rsid w:val="00C212A4"/>
    <w:rsid w:val="00C23E9F"/>
    <w:rsid w:val="00C31EE7"/>
    <w:rsid w:val="00C33F6D"/>
    <w:rsid w:val="00C4085B"/>
    <w:rsid w:val="00C4495A"/>
    <w:rsid w:val="00C4638E"/>
    <w:rsid w:val="00C51250"/>
    <w:rsid w:val="00C60E80"/>
    <w:rsid w:val="00C65B11"/>
    <w:rsid w:val="00C6674C"/>
    <w:rsid w:val="00C67AF0"/>
    <w:rsid w:val="00C803B5"/>
    <w:rsid w:val="00C80B6C"/>
    <w:rsid w:val="00C8269E"/>
    <w:rsid w:val="00C85835"/>
    <w:rsid w:val="00C87C78"/>
    <w:rsid w:val="00C96542"/>
    <w:rsid w:val="00CA2565"/>
    <w:rsid w:val="00CA5695"/>
    <w:rsid w:val="00CB3093"/>
    <w:rsid w:val="00CB355A"/>
    <w:rsid w:val="00CB5AF8"/>
    <w:rsid w:val="00CB6A2F"/>
    <w:rsid w:val="00CC160A"/>
    <w:rsid w:val="00CC2050"/>
    <w:rsid w:val="00CC3F01"/>
    <w:rsid w:val="00CD6E9B"/>
    <w:rsid w:val="00CD755E"/>
    <w:rsid w:val="00CF560A"/>
    <w:rsid w:val="00CF78AD"/>
    <w:rsid w:val="00D02703"/>
    <w:rsid w:val="00D0488D"/>
    <w:rsid w:val="00D133A7"/>
    <w:rsid w:val="00D232AC"/>
    <w:rsid w:val="00D3448F"/>
    <w:rsid w:val="00D416A5"/>
    <w:rsid w:val="00D531B4"/>
    <w:rsid w:val="00D5641E"/>
    <w:rsid w:val="00D65761"/>
    <w:rsid w:val="00D70FE6"/>
    <w:rsid w:val="00D76654"/>
    <w:rsid w:val="00D93AC8"/>
    <w:rsid w:val="00D94265"/>
    <w:rsid w:val="00DA2AF9"/>
    <w:rsid w:val="00DA3F1C"/>
    <w:rsid w:val="00DB0144"/>
    <w:rsid w:val="00DB133B"/>
    <w:rsid w:val="00DB16DD"/>
    <w:rsid w:val="00DC4A39"/>
    <w:rsid w:val="00DC606B"/>
    <w:rsid w:val="00DC643B"/>
    <w:rsid w:val="00DC7A7A"/>
    <w:rsid w:val="00DD1D59"/>
    <w:rsid w:val="00DD50C4"/>
    <w:rsid w:val="00DE09AB"/>
    <w:rsid w:val="00DF1F2B"/>
    <w:rsid w:val="00DF2590"/>
    <w:rsid w:val="00DF4481"/>
    <w:rsid w:val="00DF6007"/>
    <w:rsid w:val="00E210D4"/>
    <w:rsid w:val="00E22BBF"/>
    <w:rsid w:val="00E32587"/>
    <w:rsid w:val="00E33619"/>
    <w:rsid w:val="00E4047B"/>
    <w:rsid w:val="00E5013B"/>
    <w:rsid w:val="00E50C62"/>
    <w:rsid w:val="00E52D22"/>
    <w:rsid w:val="00E53A0C"/>
    <w:rsid w:val="00E71B61"/>
    <w:rsid w:val="00E72F41"/>
    <w:rsid w:val="00E738CA"/>
    <w:rsid w:val="00E84EE7"/>
    <w:rsid w:val="00E9232B"/>
    <w:rsid w:val="00E923E5"/>
    <w:rsid w:val="00E96F8A"/>
    <w:rsid w:val="00EA0C3F"/>
    <w:rsid w:val="00EA0FCF"/>
    <w:rsid w:val="00EA2A1B"/>
    <w:rsid w:val="00EB032F"/>
    <w:rsid w:val="00EB697D"/>
    <w:rsid w:val="00EC2DE8"/>
    <w:rsid w:val="00EF6FDE"/>
    <w:rsid w:val="00EF7BD3"/>
    <w:rsid w:val="00F0405A"/>
    <w:rsid w:val="00F07725"/>
    <w:rsid w:val="00F16A79"/>
    <w:rsid w:val="00F2685C"/>
    <w:rsid w:val="00F26E52"/>
    <w:rsid w:val="00F34827"/>
    <w:rsid w:val="00F368DA"/>
    <w:rsid w:val="00F438CF"/>
    <w:rsid w:val="00F456CD"/>
    <w:rsid w:val="00F50AEA"/>
    <w:rsid w:val="00F52A20"/>
    <w:rsid w:val="00F60884"/>
    <w:rsid w:val="00F705E7"/>
    <w:rsid w:val="00F75824"/>
    <w:rsid w:val="00F76063"/>
    <w:rsid w:val="00F82811"/>
    <w:rsid w:val="00F83035"/>
    <w:rsid w:val="00F90817"/>
    <w:rsid w:val="00F961A0"/>
    <w:rsid w:val="00F97FFD"/>
    <w:rsid w:val="00FA7748"/>
    <w:rsid w:val="00FB006E"/>
    <w:rsid w:val="00FB0EA9"/>
    <w:rsid w:val="00FB40DB"/>
    <w:rsid w:val="00FC3D80"/>
    <w:rsid w:val="00FD2BDF"/>
    <w:rsid w:val="00FD411F"/>
    <w:rsid w:val="00FD5FDB"/>
    <w:rsid w:val="00FD7029"/>
    <w:rsid w:val="00FE0AD6"/>
    <w:rsid w:val="00FE7F6D"/>
    <w:rsid w:val="00FF1F48"/>
    <w:rsid w:val="00FF2970"/>
    <w:rsid w:val="00FF5C68"/>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3A02B6"/>
  <w15:docId w15:val="{7BA46B35-FFA4-471C-8C86-AABA63B56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3">
    <w:name w:val="heading 3"/>
    <w:basedOn w:val="Normal"/>
    <w:link w:val="Heading3Char"/>
    <w:uiPriority w:val="9"/>
    <w:qFormat/>
    <w:rsid w:val="00C017DF"/>
    <w:pPr>
      <w:spacing w:before="100" w:beforeAutospacing="1" w:after="100" w:afterAutospacing="1" w:line="240" w:lineRule="auto"/>
      <w:outlineLvl w:val="2"/>
    </w:pPr>
    <w:rPr>
      <w:rFonts w:ascii="Times New Roman" w:eastAsia="Times New Roman" w:hAnsi="Times New Roman" w:cs="Times New Roman"/>
      <w:b/>
      <w:bCs/>
      <w:sz w:val="27"/>
      <w:szCs w:val="27"/>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7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7CC0"/>
  </w:style>
  <w:style w:type="paragraph" w:styleId="Footer">
    <w:name w:val="footer"/>
    <w:basedOn w:val="Normal"/>
    <w:link w:val="FooterChar"/>
    <w:uiPriority w:val="99"/>
    <w:unhideWhenUsed/>
    <w:rsid w:val="00577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7CC0"/>
  </w:style>
  <w:style w:type="character" w:styleId="Hyperlink">
    <w:name w:val="Hyperlink"/>
    <w:basedOn w:val="DefaultParagraphFont"/>
    <w:uiPriority w:val="99"/>
    <w:unhideWhenUsed/>
    <w:rsid w:val="00577CC0"/>
    <w:rPr>
      <w:color w:val="0563C1"/>
      <w:u w:val="single"/>
    </w:rPr>
  </w:style>
  <w:style w:type="paragraph" w:styleId="BalloonText">
    <w:name w:val="Balloon Text"/>
    <w:basedOn w:val="Normal"/>
    <w:link w:val="BalloonTextChar"/>
    <w:uiPriority w:val="99"/>
    <w:semiHidden/>
    <w:unhideWhenUsed/>
    <w:rsid w:val="006A68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6810"/>
    <w:rPr>
      <w:rFonts w:ascii="Segoe UI" w:hAnsi="Segoe UI" w:cs="Segoe UI"/>
      <w:sz w:val="18"/>
      <w:szCs w:val="18"/>
    </w:rPr>
  </w:style>
  <w:style w:type="paragraph" w:styleId="ListParagraph">
    <w:name w:val="List Paragraph"/>
    <w:basedOn w:val="Normal"/>
    <w:link w:val="ListParagraphChar"/>
    <w:uiPriority w:val="34"/>
    <w:qFormat/>
    <w:rsid w:val="002568BC"/>
    <w:pPr>
      <w:ind w:left="720"/>
      <w:contextualSpacing/>
    </w:pPr>
  </w:style>
  <w:style w:type="table" w:styleId="TableGrid">
    <w:name w:val="Table Grid"/>
    <w:basedOn w:val="TableNormal"/>
    <w:uiPriority w:val="39"/>
    <w:rsid w:val="00BA0B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97FD5"/>
    <w:pPr>
      <w:autoSpaceDE w:val="0"/>
      <w:autoSpaceDN w:val="0"/>
      <w:adjustRightInd w:val="0"/>
      <w:spacing w:after="0" w:line="240" w:lineRule="auto"/>
    </w:pPr>
    <w:rPr>
      <w:rFonts w:ascii="Calibri" w:hAnsi="Calibri" w:cs="Calibri"/>
      <w:color w:val="000000"/>
      <w:sz w:val="24"/>
      <w:szCs w:val="24"/>
    </w:rPr>
  </w:style>
  <w:style w:type="character" w:styleId="CommentReference">
    <w:name w:val="annotation reference"/>
    <w:uiPriority w:val="99"/>
    <w:semiHidden/>
    <w:unhideWhenUsed/>
    <w:rsid w:val="0013217C"/>
    <w:rPr>
      <w:sz w:val="16"/>
      <w:szCs w:val="16"/>
    </w:rPr>
  </w:style>
  <w:style w:type="paragraph" w:styleId="CommentText">
    <w:name w:val="annotation text"/>
    <w:basedOn w:val="Normal"/>
    <w:link w:val="CommentTextChar"/>
    <w:uiPriority w:val="99"/>
    <w:semiHidden/>
    <w:unhideWhenUsed/>
    <w:rsid w:val="0013217C"/>
    <w:pPr>
      <w:suppressAutoHyphens/>
      <w:spacing w:after="0" w:line="240" w:lineRule="auto"/>
    </w:pPr>
    <w:rPr>
      <w:rFonts w:ascii="Times New Roman" w:eastAsia="Times New Roman" w:hAnsi="Times New Roman" w:cs="Times New Roman"/>
      <w:sz w:val="20"/>
      <w:szCs w:val="20"/>
      <w:lang w:val="en-GB" w:eastAsia="ar-SA"/>
    </w:rPr>
  </w:style>
  <w:style w:type="character" w:customStyle="1" w:styleId="CommentTextChar">
    <w:name w:val="Comment Text Char"/>
    <w:basedOn w:val="DefaultParagraphFont"/>
    <w:link w:val="CommentText"/>
    <w:uiPriority w:val="99"/>
    <w:semiHidden/>
    <w:rsid w:val="0013217C"/>
    <w:rPr>
      <w:rFonts w:ascii="Times New Roman" w:eastAsia="Times New Roman" w:hAnsi="Times New Roman" w:cs="Times New Roman"/>
      <w:sz w:val="20"/>
      <w:szCs w:val="20"/>
      <w:lang w:val="en-GB" w:eastAsia="ar-SA"/>
    </w:rPr>
  </w:style>
  <w:style w:type="character" w:styleId="FollowedHyperlink">
    <w:name w:val="FollowedHyperlink"/>
    <w:basedOn w:val="DefaultParagraphFont"/>
    <w:uiPriority w:val="99"/>
    <w:semiHidden/>
    <w:unhideWhenUsed/>
    <w:rsid w:val="00EC2DE8"/>
    <w:rPr>
      <w:color w:val="954F72" w:themeColor="followedHyperlink"/>
      <w:u w:val="single"/>
    </w:rPr>
  </w:style>
  <w:style w:type="character" w:styleId="Strong">
    <w:name w:val="Strong"/>
    <w:basedOn w:val="DefaultParagraphFont"/>
    <w:uiPriority w:val="22"/>
    <w:qFormat/>
    <w:rsid w:val="00682D98"/>
    <w:rPr>
      <w:b/>
      <w:bCs/>
    </w:rPr>
  </w:style>
  <w:style w:type="character" w:customStyle="1" w:styleId="apple-converted-space">
    <w:name w:val="apple-converted-space"/>
    <w:basedOn w:val="DefaultParagraphFont"/>
    <w:rsid w:val="00682D98"/>
  </w:style>
  <w:style w:type="character" w:customStyle="1" w:styleId="ListParagraphChar">
    <w:name w:val="List Paragraph Char"/>
    <w:basedOn w:val="DefaultParagraphFont"/>
    <w:link w:val="ListParagraph"/>
    <w:uiPriority w:val="34"/>
    <w:locked/>
    <w:rsid w:val="003E4DDF"/>
  </w:style>
  <w:style w:type="table" w:styleId="LightList-Accent3">
    <w:name w:val="Light List Accent 3"/>
    <w:basedOn w:val="TableNormal"/>
    <w:uiPriority w:val="61"/>
    <w:rsid w:val="00277442"/>
    <w:pPr>
      <w:spacing w:after="0" w:line="240" w:lineRule="auto"/>
    </w:pPr>
    <w:rPr>
      <w:rFonts w:ascii="Times New Roman" w:eastAsia="Times New Roman" w:hAnsi="Times New Roman" w:cs="Times New Roman"/>
      <w:sz w:val="20"/>
      <w:szCs w:val="20"/>
      <w:lang w:val="en-GB"/>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shd w:val="clear" w:color="auto" w:fill="A5A5A5" w:themeFill="accent3"/>
      </w:tcPr>
    </w:tblStylePr>
    <w:tblStylePr w:type="lastRow">
      <w:pPr>
        <w:spacing w:beforeLines="0" w:before="0" w:beforeAutospacing="0" w:afterLines="0" w:after="0" w:afterAutospacing="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MediumShading2-Accent5">
    <w:name w:val="Medium Shading 2 Accent 5"/>
    <w:basedOn w:val="TableNormal"/>
    <w:uiPriority w:val="64"/>
    <w:rsid w:val="00277442"/>
    <w:pPr>
      <w:spacing w:after="0" w:line="240" w:lineRule="auto"/>
    </w:pPr>
    <w:rPr>
      <w:rFonts w:eastAsiaTheme="minorEastAsia"/>
      <w:sz w:val="24"/>
      <w:szCs w:val="24"/>
      <w:lang w:val="en-US" w:eastAsia="ja-JP"/>
    </w:rPr>
    <w:tblPr>
      <w:tblStyleRowBandSize w:val="1"/>
      <w:tblStyleColBandSize w:val="1"/>
      <w:tblBorders>
        <w:top w:val="single" w:sz="18" w:space="0" w:color="auto"/>
        <w:bottom w:val="single" w:sz="18" w:space="0" w:color="auto"/>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ommentSubject">
    <w:name w:val="annotation subject"/>
    <w:basedOn w:val="CommentText"/>
    <w:next w:val="CommentText"/>
    <w:link w:val="CommentSubjectChar"/>
    <w:uiPriority w:val="99"/>
    <w:semiHidden/>
    <w:unhideWhenUsed/>
    <w:rsid w:val="00277442"/>
    <w:pPr>
      <w:suppressAutoHyphens w:val="0"/>
      <w:spacing w:after="160"/>
    </w:pPr>
    <w:rPr>
      <w:rFonts w:asciiTheme="minorHAnsi" w:eastAsiaTheme="minorHAnsi" w:hAnsiTheme="minorHAnsi" w:cstheme="minorBidi"/>
      <w:b/>
      <w:bCs/>
      <w:lang w:val="en-ZA" w:eastAsia="en-US"/>
    </w:rPr>
  </w:style>
  <w:style w:type="character" w:customStyle="1" w:styleId="CommentSubjectChar">
    <w:name w:val="Comment Subject Char"/>
    <w:basedOn w:val="CommentTextChar"/>
    <w:link w:val="CommentSubject"/>
    <w:uiPriority w:val="99"/>
    <w:semiHidden/>
    <w:rsid w:val="00277442"/>
    <w:rPr>
      <w:rFonts w:ascii="Times New Roman" w:eastAsia="Times New Roman" w:hAnsi="Times New Roman" w:cs="Times New Roman"/>
      <w:b/>
      <w:bCs/>
      <w:sz w:val="20"/>
      <w:szCs w:val="20"/>
      <w:lang w:val="en-GB" w:eastAsia="ar-SA"/>
    </w:rPr>
  </w:style>
  <w:style w:type="character" w:customStyle="1" w:styleId="Heading3Char">
    <w:name w:val="Heading 3 Char"/>
    <w:basedOn w:val="DefaultParagraphFont"/>
    <w:link w:val="Heading3"/>
    <w:uiPriority w:val="9"/>
    <w:rsid w:val="00C017DF"/>
    <w:rPr>
      <w:rFonts w:ascii="Times New Roman" w:eastAsia="Times New Roman" w:hAnsi="Times New Roman" w:cs="Times New Roman"/>
      <w:b/>
      <w:bCs/>
      <w:sz w:val="27"/>
      <w:szCs w:val="27"/>
      <w:lang w:eastAsia="en-ZA"/>
    </w:rPr>
  </w:style>
  <w:style w:type="paragraph" w:styleId="NormalWeb">
    <w:name w:val="Normal (Web)"/>
    <w:basedOn w:val="Normal"/>
    <w:uiPriority w:val="99"/>
    <w:semiHidden/>
    <w:unhideWhenUsed/>
    <w:rsid w:val="00C017DF"/>
    <w:pPr>
      <w:spacing w:before="100" w:beforeAutospacing="1" w:after="100" w:afterAutospacing="1" w:line="240" w:lineRule="auto"/>
    </w:pPr>
    <w:rPr>
      <w:rFonts w:ascii="Times New Roman" w:eastAsia="Times New Roman" w:hAnsi="Times New Roman" w:cs="Times New Roman"/>
      <w:sz w:val="24"/>
      <w:szCs w:val="24"/>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82262">
      <w:bodyDiv w:val="1"/>
      <w:marLeft w:val="0"/>
      <w:marRight w:val="0"/>
      <w:marTop w:val="0"/>
      <w:marBottom w:val="0"/>
      <w:divBdr>
        <w:top w:val="none" w:sz="0" w:space="0" w:color="auto"/>
        <w:left w:val="none" w:sz="0" w:space="0" w:color="auto"/>
        <w:bottom w:val="none" w:sz="0" w:space="0" w:color="auto"/>
        <w:right w:val="none" w:sz="0" w:space="0" w:color="auto"/>
      </w:divBdr>
    </w:div>
    <w:div w:id="146241382">
      <w:bodyDiv w:val="1"/>
      <w:marLeft w:val="0"/>
      <w:marRight w:val="0"/>
      <w:marTop w:val="0"/>
      <w:marBottom w:val="0"/>
      <w:divBdr>
        <w:top w:val="none" w:sz="0" w:space="0" w:color="auto"/>
        <w:left w:val="none" w:sz="0" w:space="0" w:color="auto"/>
        <w:bottom w:val="none" w:sz="0" w:space="0" w:color="auto"/>
        <w:right w:val="none" w:sz="0" w:space="0" w:color="auto"/>
      </w:divBdr>
    </w:div>
    <w:div w:id="233013125">
      <w:bodyDiv w:val="1"/>
      <w:marLeft w:val="0"/>
      <w:marRight w:val="0"/>
      <w:marTop w:val="0"/>
      <w:marBottom w:val="0"/>
      <w:divBdr>
        <w:top w:val="none" w:sz="0" w:space="0" w:color="auto"/>
        <w:left w:val="none" w:sz="0" w:space="0" w:color="auto"/>
        <w:bottom w:val="none" w:sz="0" w:space="0" w:color="auto"/>
        <w:right w:val="none" w:sz="0" w:space="0" w:color="auto"/>
      </w:divBdr>
    </w:div>
    <w:div w:id="284315778">
      <w:bodyDiv w:val="1"/>
      <w:marLeft w:val="0"/>
      <w:marRight w:val="0"/>
      <w:marTop w:val="0"/>
      <w:marBottom w:val="0"/>
      <w:divBdr>
        <w:top w:val="none" w:sz="0" w:space="0" w:color="auto"/>
        <w:left w:val="none" w:sz="0" w:space="0" w:color="auto"/>
        <w:bottom w:val="none" w:sz="0" w:space="0" w:color="auto"/>
        <w:right w:val="none" w:sz="0" w:space="0" w:color="auto"/>
      </w:divBdr>
    </w:div>
    <w:div w:id="288705117">
      <w:bodyDiv w:val="1"/>
      <w:marLeft w:val="0"/>
      <w:marRight w:val="0"/>
      <w:marTop w:val="0"/>
      <w:marBottom w:val="0"/>
      <w:divBdr>
        <w:top w:val="none" w:sz="0" w:space="0" w:color="auto"/>
        <w:left w:val="none" w:sz="0" w:space="0" w:color="auto"/>
        <w:bottom w:val="none" w:sz="0" w:space="0" w:color="auto"/>
        <w:right w:val="none" w:sz="0" w:space="0" w:color="auto"/>
      </w:divBdr>
    </w:div>
    <w:div w:id="354425122">
      <w:bodyDiv w:val="1"/>
      <w:marLeft w:val="0"/>
      <w:marRight w:val="0"/>
      <w:marTop w:val="0"/>
      <w:marBottom w:val="0"/>
      <w:divBdr>
        <w:top w:val="none" w:sz="0" w:space="0" w:color="auto"/>
        <w:left w:val="none" w:sz="0" w:space="0" w:color="auto"/>
        <w:bottom w:val="none" w:sz="0" w:space="0" w:color="auto"/>
        <w:right w:val="none" w:sz="0" w:space="0" w:color="auto"/>
      </w:divBdr>
    </w:div>
    <w:div w:id="442576599">
      <w:bodyDiv w:val="1"/>
      <w:marLeft w:val="0"/>
      <w:marRight w:val="0"/>
      <w:marTop w:val="0"/>
      <w:marBottom w:val="0"/>
      <w:divBdr>
        <w:top w:val="none" w:sz="0" w:space="0" w:color="auto"/>
        <w:left w:val="none" w:sz="0" w:space="0" w:color="auto"/>
        <w:bottom w:val="none" w:sz="0" w:space="0" w:color="auto"/>
        <w:right w:val="none" w:sz="0" w:space="0" w:color="auto"/>
      </w:divBdr>
    </w:div>
    <w:div w:id="522599858">
      <w:bodyDiv w:val="1"/>
      <w:marLeft w:val="0"/>
      <w:marRight w:val="0"/>
      <w:marTop w:val="0"/>
      <w:marBottom w:val="0"/>
      <w:divBdr>
        <w:top w:val="none" w:sz="0" w:space="0" w:color="auto"/>
        <w:left w:val="none" w:sz="0" w:space="0" w:color="auto"/>
        <w:bottom w:val="none" w:sz="0" w:space="0" w:color="auto"/>
        <w:right w:val="none" w:sz="0" w:space="0" w:color="auto"/>
      </w:divBdr>
    </w:div>
    <w:div w:id="628703418">
      <w:bodyDiv w:val="1"/>
      <w:marLeft w:val="0"/>
      <w:marRight w:val="0"/>
      <w:marTop w:val="0"/>
      <w:marBottom w:val="0"/>
      <w:divBdr>
        <w:top w:val="none" w:sz="0" w:space="0" w:color="auto"/>
        <w:left w:val="none" w:sz="0" w:space="0" w:color="auto"/>
        <w:bottom w:val="none" w:sz="0" w:space="0" w:color="auto"/>
        <w:right w:val="none" w:sz="0" w:space="0" w:color="auto"/>
      </w:divBdr>
    </w:div>
    <w:div w:id="670066427">
      <w:bodyDiv w:val="1"/>
      <w:marLeft w:val="0"/>
      <w:marRight w:val="0"/>
      <w:marTop w:val="0"/>
      <w:marBottom w:val="0"/>
      <w:divBdr>
        <w:top w:val="none" w:sz="0" w:space="0" w:color="auto"/>
        <w:left w:val="none" w:sz="0" w:space="0" w:color="auto"/>
        <w:bottom w:val="none" w:sz="0" w:space="0" w:color="auto"/>
        <w:right w:val="none" w:sz="0" w:space="0" w:color="auto"/>
      </w:divBdr>
    </w:div>
    <w:div w:id="827673721">
      <w:bodyDiv w:val="1"/>
      <w:marLeft w:val="0"/>
      <w:marRight w:val="0"/>
      <w:marTop w:val="0"/>
      <w:marBottom w:val="0"/>
      <w:divBdr>
        <w:top w:val="none" w:sz="0" w:space="0" w:color="auto"/>
        <w:left w:val="none" w:sz="0" w:space="0" w:color="auto"/>
        <w:bottom w:val="none" w:sz="0" w:space="0" w:color="auto"/>
        <w:right w:val="none" w:sz="0" w:space="0" w:color="auto"/>
      </w:divBdr>
    </w:div>
    <w:div w:id="1039740529">
      <w:bodyDiv w:val="1"/>
      <w:marLeft w:val="0"/>
      <w:marRight w:val="0"/>
      <w:marTop w:val="0"/>
      <w:marBottom w:val="0"/>
      <w:divBdr>
        <w:top w:val="none" w:sz="0" w:space="0" w:color="auto"/>
        <w:left w:val="none" w:sz="0" w:space="0" w:color="auto"/>
        <w:bottom w:val="none" w:sz="0" w:space="0" w:color="auto"/>
        <w:right w:val="none" w:sz="0" w:space="0" w:color="auto"/>
      </w:divBdr>
    </w:div>
    <w:div w:id="1060860571">
      <w:bodyDiv w:val="1"/>
      <w:marLeft w:val="0"/>
      <w:marRight w:val="0"/>
      <w:marTop w:val="0"/>
      <w:marBottom w:val="0"/>
      <w:divBdr>
        <w:top w:val="none" w:sz="0" w:space="0" w:color="auto"/>
        <w:left w:val="none" w:sz="0" w:space="0" w:color="auto"/>
        <w:bottom w:val="none" w:sz="0" w:space="0" w:color="auto"/>
        <w:right w:val="none" w:sz="0" w:space="0" w:color="auto"/>
      </w:divBdr>
    </w:div>
    <w:div w:id="1567913420">
      <w:bodyDiv w:val="1"/>
      <w:marLeft w:val="0"/>
      <w:marRight w:val="0"/>
      <w:marTop w:val="0"/>
      <w:marBottom w:val="0"/>
      <w:divBdr>
        <w:top w:val="none" w:sz="0" w:space="0" w:color="auto"/>
        <w:left w:val="none" w:sz="0" w:space="0" w:color="auto"/>
        <w:bottom w:val="none" w:sz="0" w:space="0" w:color="auto"/>
        <w:right w:val="none" w:sz="0" w:space="0" w:color="auto"/>
      </w:divBdr>
    </w:div>
    <w:div w:id="1709792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joburg.org.za/index.php?option=com_content&amp;task=view&amp;id=4030&amp;Itemid=114" TargetMode="Externa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gbcsa.org.za" TargetMode="External"/><Relationship Id="rId8" Type="http://schemas.openxmlformats.org/officeDocument/2006/relationships/hyperlink" Target="http://www.solidgreen.co.za/menlyn-maine-pegasus-receives-4-star-rating/" TargetMode="External"/><Relationship Id="rId9" Type="http://schemas.openxmlformats.org/officeDocument/2006/relationships/hyperlink" Target="http://intaprop.co.za/" TargetMode="External"/><Relationship Id="rId10" Type="http://schemas.openxmlformats.org/officeDocument/2006/relationships/hyperlink" Target="http://www.sandtoncentral.co.z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AppData\Local\Microsoft\Windows\INetCache\Content.Outlook\8XFCKGGZ\Letterhead%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C:\Users\JoA\AppData\Local\Microsoft\Windows\INetCache\Content.Outlook\8XFCKGGZ\Letterhead (2).dotx</Template>
  <TotalTime>1</TotalTime>
  <Pages>4</Pages>
  <Words>1741</Words>
  <Characters>9926</Characters>
  <Application>Microsoft Macintosh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 Anderson</dc:creator>
  <cp:lastModifiedBy>Priscilla Moroke</cp:lastModifiedBy>
  <cp:revision>2</cp:revision>
  <cp:lastPrinted>2016-08-02T20:38:00Z</cp:lastPrinted>
  <dcterms:created xsi:type="dcterms:W3CDTF">2016-12-08T08:46:00Z</dcterms:created>
  <dcterms:modified xsi:type="dcterms:W3CDTF">2016-12-08T08:46:00Z</dcterms:modified>
</cp:coreProperties>
</file>