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F4C15" w14:textId="77777777" w:rsidR="00C361E3" w:rsidRPr="00C361E3" w:rsidRDefault="00000562" w:rsidP="00C361E3">
      <w:pPr>
        <w:pStyle w:val="NoSpacing"/>
        <w:jc w:val="center"/>
      </w:pPr>
      <w:bookmarkStart w:id="0" w:name="_GoBack"/>
      <w:bookmarkEnd w:id="0"/>
      <w:r>
        <w:t>PRESS RELEASE</w:t>
      </w:r>
    </w:p>
    <w:p w14:paraId="46E9231E" w14:textId="77777777" w:rsidR="00A64C15" w:rsidRDefault="00A64C15" w:rsidP="00A64C15">
      <w:pPr>
        <w:jc w:val="center"/>
        <w:rPr>
          <w:rFonts w:ascii="Arial" w:hAnsi="Arial" w:cs="Arial"/>
          <w:b/>
          <w:szCs w:val="21"/>
        </w:rPr>
      </w:pPr>
      <w:bookmarkStart w:id="1" w:name="OLE_LINK5"/>
      <w:bookmarkStart w:id="2" w:name="OLE_LINK6"/>
      <w:bookmarkStart w:id="3" w:name="OLE_LINK1"/>
      <w:bookmarkStart w:id="4" w:name="OLE_LINK7"/>
      <w:bookmarkStart w:id="5" w:name="OLE_LINK8"/>
    </w:p>
    <w:p w14:paraId="5830104A" w14:textId="7CB9365A" w:rsidR="00DB76C4" w:rsidRPr="00BD1D91" w:rsidRDefault="00DB76C4" w:rsidP="00DB76C4">
      <w:pPr>
        <w:jc w:val="center"/>
        <w:rPr>
          <w:rFonts w:ascii="Arial" w:hAnsi="Arial" w:cs="Arial"/>
          <w:b/>
          <w:szCs w:val="21"/>
        </w:rPr>
      </w:pPr>
      <w:bookmarkStart w:id="6" w:name="OLE_LINK2"/>
      <w:bookmarkEnd w:id="1"/>
      <w:bookmarkEnd w:id="2"/>
      <w:bookmarkEnd w:id="3"/>
      <w:bookmarkEnd w:id="4"/>
      <w:bookmarkEnd w:id="5"/>
      <w:r w:rsidRPr="00BD1D91">
        <w:rPr>
          <w:rFonts w:ascii="Arial" w:hAnsi="Arial" w:cs="Arial"/>
          <w:b/>
          <w:szCs w:val="21"/>
        </w:rPr>
        <w:t>Sungrow</w:t>
      </w:r>
      <w:r w:rsidRPr="00BD1D91">
        <w:rPr>
          <w:rFonts w:ascii="Arial" w:hAnsi="Arial" w:cs="Arial" w:hint="eastAsia"/>
          <w:b/>
          <w:szCs w:val="21"/>
        </w:rPr>
        <w:t xml:space="preserve"> </w:t>
      </w:r>
      <w:r w:rsidR="00E06C3D">
        <w:rPr>
          <w:rFonts w:ascii="Arial" w:hAnsi="Arial" w:cs="Arial"/>
          <w:b/>
          <w:szCs w:val="21"/>
          <w:lang w:val="en-US"/>
        </w:rPr>
        <w:t>Showcases Inverters at</w:t>
      </w:r>
      <w:r w:rsidRPr="00BD1D91">
        <w:rPr>
          <w:rFonts w:ascii="Arial" w:hAnsi="Arial" w:cs="Arial" w:hint="eastAsia"/>
          <w:b/>
          <w:szCs w:val="21"/>
        </w:rPr>
        <w:t xml:space="preserve"> </w:t>
      </w:r>
      <w:r w:rsidRPr="00BD1D91">
        <w:rPr>
          <w:rFonts w:ascii="Arial" w:hAnsi="Arial" w:cs="Arial"/>
          <w:b/>
          <w:szCs w:val="21"/>
        </w:rPr>
        <w:t>Solar &amp; Off-grid Renewables | Solar Finance</w:t>
      </w:r>
      <w:r w:rsidR="00E06C3D">
        <w:rPr>
          <w:rFonts w:ascii="Arial" w:hAnsi="Arial" w:cs="Arial"/>
          <w:b/>
          <w:szCs w:val="21"/>
        </w:rPr>
        <w:t xml:space="preserve"> </w:t>
      </w:r>
      <w:r w:rsidRPr="00BD1D91">
        <w:rPr>
          <w:rFonts w:ascii="Arial" w:hAnsi="Arial" w:cs="Arial"/>
          <w:b/>
          <w:szCs w:val="21"/>
        </w:rPr>
        <w:t>&amp; Investment Southeast Asia 2016</w:t>
      </w:r>
    </w:p>
    <w:bookmarkEnd w:id="6"/>
    <w:p w14:paraId="2A69067C" w14:textId="77777777" w:rsidR="00DB76C4" w:rsidRDefault="00DB76C4" w:rsidP="00DB76C4">
      <w:pPr>
        <w:rPr>
          <w:rFonts w:ascii="Arial" w:hAnsi="Arial" w:cs="Arial"/>
          <w:sz w:val="18"/>
          <w:szCs w:val="18"/>
        </w:rPr>
      </w:pPr>
      <w:r>
        <w:rPr>
          <w:rFonts w:ascii="Arial" w:hAnsi="Arial" w:cs="Arial"/>
          <w:sz w:val="18"/>
          <w:szCs w:val="18"/>
        </w:rPr>
        <w:t>Bangkok</w:t>
      </w:r>
      <w:r>
        <w:rPr>
          <w:rFonts w:ascii="Arial" w:hAnsi="Arial" w:cs="Arial" w:hint="eastAsia"/>
          <w:sz w:val="18"/>
          <w:szCs w:val="18"/>
        </w:rPr>
        <w:t>,</w:t>
      </w:r>
      <w:r w:rsidRPr="00BB138C">
        <w:rPr>
          <w:rFonts w:ascii="Arial" w:hAnsi="Arial" w:cs="Arial"/>
          <w:sz w:val="18"/>
          <w:szCs w:val="18"/>
        </w:rPr>
        <w:t xml:space="preserve"> </w:t>
      </w:r>
      <w:r>
        <w:rPr>
          <w:rFonts w:ascii="Arial" w:hAnsi="Arial" w:cs="Arial"/>
          <w:sz w:val="18"/>
          <w:szCs w:val="18"/>
        </w:rPr>
        <w:t>Thailand</w:t>
      </w:r>
      <w:r w:rsidRPr="00BB138C">
        <w:rPr>
          <w:rFonts w:ascii="Arial" w:hAnsi="Arial" w:cs="Arial"/>
          <w:sz w:val="18"/>
          <w:szCs w:val="18"/>
        </w:rPr>
        <w:t xml:space="preserve"> / </w:t>
      </w:r>
      <w:r>
        <w:rPr>
          <w:rFonts w:ascii="Arial" w:hAnsi="Arial" w:cs="Arial" w:hint="eastAsia"/>
          <w:sz w:val="18"/>
          <w:szCs w:val="18"/>
        </w:rPr>
        <w:t>Dec 5,</w:t>
      </w:r>
      <w:r w:rsidRPr="00BB138C">
        <w:rPr>
          <w:rFonts w:ascii="Arial" w:hAnsi="Arial" w:cs="Arial"/>
          <w:sz w:val="18"/>
          <w:szCs w:val="18"/>
        </w:rPr>
        <w:t xml:space="preserve"> 2016 – Sungrow, the world’s largest PV inve</w:t>
      </w:r>
      <w:r>
        <w:rPr>
          <w:rFonts w:ascii="Arial" w:hAnsi="Arial" w:cs="Arial"/>
          <w:sz w:val="18"/>
          <w:szCs w:val="18"/>
        </w:rPr>
        <w:t xml:space="preserve">rter manufacturer, </w:t>
      </w:r>
      <w:r>
        <w:rPr>
          <w:rFonts w:ascii="Arial" w:hAnsi="Arial" w:cs="Arial" w:hint="eastAsia"/>
          <w:sz w:val="18"/>
          <w:szCs w:val="18"/>
        </w:rPr>
        <w:t xml:space="preserve">showcased </w:t>
      </w:r>
      <w:r>
        <w:rPr>
          <w:rFonts w:ascii="Arial" w:hAnsi="Arial" w:cs="Arial"/>
          <w:sz w:val="18"/>
          <w:szCs w:val="18"/>
        </w:rPr>
        <w:t xml:space="preserve">its </w:t>
      </w:r>
      <w:r w:rsidRPr="00BB138C">
        <w:rPr>
          <w:rFonts w:ascii="Arial" w:hAnsi="Arial" w:cs="Arial"/>
          <w:sz w:val="18"/>
          <w:szCs w:val="18"/>
        </w:rPr>
        <w:t>SG60KTL and</w:t>
      </w:r>
      <w:r>
        <w:rPr>
          <w:rFonts w:ascii="Arial" w:hAnsi="Arial" w:cs="Arial" w:hint="eastAsia"/>
          <w:sz w:val="18"/>
          <w:szCs w:val="18"/>
        </w:rPr>
        <w:t xml:space="preserve"> </w:t>
      </w:r>
      <w:r w:rsidRPr="00BB138C">
        <w:rPr>
          <w:rFonts w:ascii="Arial" w:hAnsi="Arial" w:cs="Arial"/>
          <w:sz w:val="18"/>
          <w:szCs w:val="18"/>
        </w:rPr>
        <w:t>SG</w:t>
      </w:r>
      <w:r>
        <w:rPr>
          <w:rFonts w:ascii="Arial" w:hAnsi="Arial" w:cs="Arial"/>
          <w:sz w:val="18"/>
          <w:szCs w:val="18"/>
        </w:rPr>
        <w:t>50</w:t>
      </w:r>
      <w:r w:rsidRPr="00BB138C">
        <w:rPr>
          <w:rFonts w:ascii="Arial" w:hAnsi="Arial" w:cs="Arial"/>
          <w:sz w:val="18"/>
          <w:szCs w:val="18"/>
        </w:rPr>
        <w:t>KTL-M</w:t>
      </w:r>
      <w:r>
        <w:rPr>
          <w:rFonts w:ascii="Arial" w:hAnsi="Arial" w:cs="Arial" w:hint="eastAsia"/>
          <w:sz w:val="18"/>
          <w:szCs w:val="18"/>
        </w:rPr>
        <w:t xml:space="preserve"> model </w:t>
      </w:r>
      <w:r>
        <w:rPr>
          <w:rFonts w:ascii="Arial" w:hAnsi="Arial" w:cs="Arial"/>
          <w:sz w:val="18"/>
          <w:szCs w:val="18"/>
        </w:rPr>
        <w:t xml:space="preserve">string inverters, </w:t>
      </w:r>
      <w:r w:rsidRPr="00BB138C">
        <w:rPr>
          <w:rFonts w:ascii="Arial" w:hAnsi="Arial" w:cs="Arial"/>
          <w:sz w:val="18"/>
          <w:szCs w:val="18"/>
        </w:rPr>
        <w:t xml:space="preserve">at </w:t>
      </w:r>
      <w:r w:rsidRPr="001E3EC2">
        <w:rPr>
          <w:rFonts w:ascii="Arial" w:hAnsi="Arial" w:cs="Arial"/>
          <w:sz w:val="18"/>
          <w:szCs w:val="18"/>
        </w:rPr>
        <w:t>Solar &amp; Off-grid Renewables | Solar Finance &amp; Investment Southeast Asia 2016</w:t>
      </w:r>
      <w:r w:rsidRPr="00BB138C">
        <w:rPr>
          <w:rFonts w:ascii="Arial" w:hAnsi="Arial" w:cs="Arial"/>
          <w:sz w:val="18"/>
          <w:szCs w:val="18"/>
        </w:rPr>
        <w:t>.</w:t>
      </w:r>
    </w:p>
    <w:p w14:paraId="6C002E1B" w14:textId="77777777" w:rsidR="00DB76C4" w:rsidRPr="00EC3EE6" w:rsidRDefault="00DB76C4" w:rsidP="00DB76C4">
      <w:pPr>
        <w:rPr>
          <w:rFonts w:ascii="Arial" w:hAnsi="Arial" w:cs="Arial"/>
          <w:color w:val="000000" w:themeColor="text1"/>
          <w:sz w:val="18"/>
          <w:szCs w:val="18"/>
        </w:rPr>
      </w:pPr>
      <w:r>
        <w:rPr>
          <w:rFonts w:ascii="Arial" w:hAnsi="Arial" w:cs="Arial"/>
          <w:color w:val="000000" w:themeColor="text1"/>
          <w:sz w:val="18"/>
          <w:szCs w:val="18"/>
        </w:rPr>
        <w:t xml:space="preserve">Sungrow’s </w:t>
      </w:r>
      <w:r w:rsidRPr="00BB138C">
        <w:rPr>
          <w:rFonts w:ascii="Arial" w:hAnsi="Arial" w:cs="Arial"/>
          <w:sz w:val="18"/>
          <w:szCs w:val="18"/>
        </w:rPr>
        <w:t>SG60KTL and</w:t>
      </w:r>
      <w:r>
        <w:rPr>
          <w:rFonts w:ascii="Arial" w:hAnsi="Arial" w:cs="Arial" w:hint="eastAsia"/>
          <w:sz w:val="18"/>
          <w:szCs w:val="18"/>
        </w:rPr>
        <w:t xml:space="preserve"> </w:t>
      </w:r>
      <w:r w:rsidRPr="00BB138C">
        <w:rPr>
          <w:rFonts w:ascii="Arial" w:hAnsi="Arial" w:cs="Arial"/>
          <w:sz w:val="18"/>
          <w:szCs w:val="18"/>
        </w:rPr>
        <w:t>SG</w:t>
      </w:r>
      <w:r>
        <w:rPr>
          <w:rFonts w:ascii="Arial" w:hAnsi="Arial" w:cs="Arial"/>
          <w:sz w:val="18"/>
          <w:szCs w:val="18"/>
        </w:rPr>
        <w:t>50</w:t>
      </w:r>
      <w:r w:rsidRPr="00BB138C">
        <w:rPr>
          <w:rFonts w:ascii="Arial" w:hAnsi="Arial" w:cs="Arial"/>
          <w:sz w:val="18"/>
          <w:szCs w:val="18"/>
        </w:rPr>
        <w:t>KTL-M</w:t>
      </w:r>
      <w:r>
        <w:rPr>
          <w:rFonts w:ascii="Arial" w:hAnsi="Arial" w:cs="Arial"/>
          <w:color w:val="000000" w:themeColor="text1"/>
          <w:sz w:val="18"/>
          <w:szCs w:val="18"/>
        </w:rPr>
        <w:t xml:space="preserve"> string inverter</w:t>
      </w:r>
      <w:r>
        <w:rPr>
          <w:rFonts w:ascii="Arial" w:hAnsi="Arial" w:cs="Arial" w:hint="eastAsia"/>
          <w:color w:val="000000" w:themeColor="text1"/>
          <w:sz w:val="18"/>
          <w:szCs w:val="18"/>
        </w:rPr>
        <w:t>s</w:t>
      </w:r>
      <w:r>
        <w:rPr>
          <w:rFonts w:ascii="Arial" w:hAnsi="Arial" w:cs="Arial" w:hint="eastAsia"/>
          <w:color w:val="000000" w:themeColor="text1"/>
          <w:sz w:val="18"/>
          <w:szCs w:val="18"/>
        </w:rPr>
        <w:t>—</w:t>
      </w:r>
      <w:r>
        <w:rPr>
          <w:rFonts w:ascii="Arial" w:hAnsi="Arial" w:cs="Arial"/>
          <w:color w:val="000000" w:themeColor="text1"/>
          <w:sz w:val="18"/>
          <w:szCs w:val="18"/>
        </w:rPr>
        <w:t>featuring 99% maximum efficiency</w:t>
      </w:r>
      <w:r>
        <w:rPr>
          <w:rFonts w:ascii="Arial" w:hAnsi="Arial" w:cs="Arial" w:hint="eastAsia"/>
          <w:color w:val="000000" w:themeColor="text1"/>
          <w:sz w:val="18"/>
          <w:szCs w:val="18"/>
        </w:rPr>
        <w:t>,</w:t>
      </w:r>
      <w:r>
        <w:rPr>
          <w:rFonts w:ascii="Arial" w:hAnsi="Arial" w:cs="Arial"/>
          <w:color w:val="000000" w:themeColor="text1"/>
          <w:sz w:val="18"/>
          <w:szCs w:val="18"/>
        </w:rPr>
        <w:t xml:space="preserve"> 4 MPPT’</w:t>
      </w:r>
      <w:r>
        <w:rPr>
          <w:rFonts w:ascii="Arial" w:hAnsi="Arial" w:cs="Arial" w:hint="eastAsia"/>
          <w:color w:val="000000" w:themeColor="text1"/>
          <w:sz w:val="18"/>
          <w:szCs w:val="18"/>
        </w:rPr>
        <w:t>s, a 1.3 DC/AC ratio (up to 1.4 for the SG60KTL)</w:t>
      </w:r>
      <w:r>
        <w:rPr>
          <w:rFonts w:ascii="Arial" w:hAnsi="Arial" w:cs="Arial" w:hint="eastAsia"/>
          <w:color w:val="000000" w:themeColor="text1"/>
          <w:sz w:val="18"/>
          <w:szCs w:val="18"/>
        </w:rPr>
        <w:t>—</w:t>
      </w:r>
      <w:r>
        <w:rPr>
          <w:rFonts w:ascii="Arial" w:hAnsi="Arial" w:cs="Arial"/>
          <w:color w:val="000000" w:themeColor="text1"/>
          <w:sz w:val="18"/>
          <w:szCs w:val="18"/>
        </w:rPr>
        <w:t>are specially designed for distributed solar farm</w:t>
      </w:r>
      <w:r>
        <w:rPr>
          <w:rFonts w:ascii="Arial" w:hAnsi="Arial" w:cs="Arial" w:hint="eastAsia"/>
          <w:color w:val="000000" w:themeColor="text1"/>
          <w:sz w:val="18"/>
          <w:szCs w:val="18"/>
        </w:rPr>
        <w:t>s</w:t>
      </w:r>
      <w:r>
        <w:rPr>
          <w:rFonts w:ascii="Arial" w:hAnsi="Arial" w:cs="Arial"/>
          <w:color w:val="000000" w:themeColor="text1"/>
          <w:sz w:val="18"/>
          <w:szCs w:val="18"/>
        </w:rPr>
        <w:t xml:space="preserve"> and commercial rooftop</w:t>
      </w:r>
      <w:r>
        <w:rPr>
          <w:rFonts w:ascii="Arial" w:hAnsi="Arial" w:cs="Arial" w:hint="eastAsia"/>
          <w:color w:val="000000" w:themeColor="text1"/>
          <w:sz w:val="18"/>
          <w:szCs w:val="18"/>
        </w:rPr>
        <w:t>s</w:t>
      </w:r>
      <w:r>
        <w:rPr>
          <w:rFonts w:ascii="Arial" w:hAnsi="Arial" w:cs="Arial"/>
          <w:color w:val="000000" w:themeColor="text1"/>
          <w:sz w:val="18"/>
          <w:szCs w:val="18"/>
        </w:rPr>
        <w:t>.</w:t>
      </w:r>
    </w:p>
    <w:p w14:paraId="35521F2B" w14:textId="77777777" w:rsidR="00DB76C4" w:rsidRPr="00906DA0" w:rsidRDefault="00DB76C4" w:rsidP="00DB76C4">
      <w:pPr>
        <w:rPr>
          <w:rFonts w:ascii="Arial" w:hAnsi="Arial" w:cs="Arial"/>
          <w:color w:val="000000" w:themeColor="text1"/>
          <w:sz w:val="18"/>
          <w:szCs w:val="18"/>
        </w:rPr>
      </w:pPr>
      <w:r>
        <w:rPr>
          <w:rFonts w:ascii="Arial" w:hAnsi="Arial" w:cs="Arial"/>
          <w:color w:val="000000" w:themeColor="text1"/>
          <w:sz w:val="18"/>
          <w:szCs w:val="18"/>
        </w:rPr>
        <w:t xml:space="preserve">Since </w:t>
      </w:r>
      <w:r>
        <w:rPr>
          <w:rFonts w:ascii="Arial" w:hAnsi="Arial" w:cs="Arial" w:hint="eastAsia"/>
          <w:color w:val="000000" w:themeColor="text1"/>
          <w:sz w:val="18"/>
          <w:szCs w:val="18"/>
        </w:rPr>
        <w:t>entering Thailand</w:t>
      </w:r>
      <w:r>
        <w:rPr>
          <w:rFonts w:ascii="Arial" w:hAnsi="Arial" w:cs="Arial"/>
          <w:color w:val="000000" w:themeColor="text1"/>
          <w:sz w:val="18"/>
          <w:szCs w:val="18"/>
        </w:rPr>
        <w:t>’</w:t>
      </w:r>
      <w:r>
        <w:rPr>
          <w:rFonts w:ascii="Arial" w:hAnsi="Arial" w:cs="Arial" w:hint="eastAsia"/>
          <w:color w:val="000000" w:themeColor="text1"/>
          <w:sz w:val="18"/>
          <w:szCs w:val="18"/>
        </w:rPr>
        <w:t xml:space="preserve">s PV market in </w:t>
      </w:r>
      <w:r>
        <w:rPr>
          <w:rFonts w:ascii="Arial" w:hAnsi="Arial" w:cs="Arial"/>
          <w:color w:val="000000" w:themeColor="text1"/>
          <w:sz w:val="18"/>
          <w:szCs w:val="18"/>
        </w:rPr>
        <w:t>2014</w:t>
      </w:r>
      <w:r>
        <w:rPr>
          <w:rFonts w:ascii="Arial" w:hAnsi="Arial" w:cs="Arial" w:hint="eastAsia"/>
          <w:color w:val="000000" w:themeColor="text1"/>
          <w:sz w:val="18"/>
          <w:szCs w:val="18"/>
        </w:rPr>
        <w:t>, Sungrow ha</w:t>
      </w:r>
      <w:r>
        <w:rPr>
          <w:rFonts w:ascii="Arial" w:hAnsi="Arial" w:cs="Arial"/>
          <w:color w:val="000000" w:themeColor="text1"/>
          <w:sz w:val="18"/>
          <w:szCs w:val="18"/>
        </w:rPr>
        <w:t>s</w:t>
      </w:r>
      <w:r>
        <w:rPr>
          <w:rFonts w:ascii="Arial" w:hAnsi="Arial" w:cs="Arial" w:hint="eastAsia"/>
          <w:color w:val="000000" w:themeColor="text1"/>
          <w:sz w:val="18"/>
          <w:szCs w:val="18"/>
        </w:rPr>
        <w:t xml:space="preserve"> deployed nearly 350MW of PV </w:t>
      </w:r>
      <w:r>
        <w:rPr>
          <w:rFonts w:ascii="Arial" w:hAnsi="Arial" w:cs="Arial"/>
          <w:color w:val="000000" w:themeColor="text1"/>
          <w:sz w:val="18"/>
          <w:szCs w:val="18"/>
        </w:rPr>
        <w:t>inverter</w:t>
      </w:r>
      <w:r>
        <w:rPr>
          <w:rFonts w:ascii="Arial" w:hAnsi="Arial" w:cs="Arial" w:hint="eastAsia"/>
          <w:color w:val="000000" w:themeColor="text1"/>
          <w:sz w:val="18"/>
          <w:szCs w:val="18"/>
        </w:rPr>
        <w:t>s all across the country. With a rapidly growing local sales and engineering team, Sungrow has evolved into a major technology provider for the Thai PV industry, having captured over 40% market share in the country</w:t>
      </w:r>
      <w:r>
        <w:rPr>
          <w:rFonts w:ascii="Arial" w:hAnsi="Arial" w:cs="Arial"/>
          <w:color w:val="000000" w:themeColor="text1"/>
          <w:sz w:val="18"/>
          <w:szCs w:val="18"/>
        </w:rPr>
        <w:t>’</w:t>
      </w:r>
      <w:r>
        <w:rPr>
          <w:rFonts w:ascii="Arial" w:hAnsi="Arial" w:cs="Arial" w:hint="eastAsia"/>
          <w:color w:val="000000" w:themeColor="text1"/>
          <w:sz w:val="18"/>
          <w:szCs w:val="18"/>
        </w:rPr>
        <w:t>s highly competitive solar market landscape.</w:t>
      </w:r>
    </w:p>
    <w:p w14:paraId="6DC574DB" w14:textId="77777777" w:rsidR="00DB76C4" w:rsidRDefault="00DB76C4" w:rsidP="00DB76C4">
      <w:pPr>
        <w:rPr>
          <w:rFonts w:ascii="Arial" w:hAnsi="Arial" w:cs="Arial"/>
          <w:color w:val="000000" w:themeColor="text1"/>
          <w:sz w:val="18"/>
          <w:szCs w:val="18"/>
        </w:rPr>
      </w:pPr>
      <w:r>
        <w:rPr>
          <w:rFonts w:ascii="Arial" w:hAnsi="Arial" w:cs="Arial"/>
          <w:color w:val="000000" w:themeColor="text1"/>
          <w:sz w:val="18"/>
          <w:szCs w:val="18"/>
        </w:rPr>
        <w:t>According to</w:t>
      </w:r>
      <w:r>
        <w:rPr>
          <w:rFonts w:ascii="Arial" w:hAnsi="Arial" w:cs="Arial" w:hint="eastAsia"/>
          <w:color w:val="000000" w:themeColor="text1"/>
          <w:sz w:val="18"/>
          <w:szCs w:val="18"/>
        </w:rPr>
        <w:t xml:space="preserve"> recent</w:t>
      </w:r>
      <w:r w:rsidRPr="00906DA0">
        <w:rPr>
          <w:rFonts w:ascii="Arial" w:hAnsi="Arial" w:cs="Arial"/>
          <w:color w:val="000000" w:themeColor="text1"/>
          <w:sz w:val="18"/>
          <w:szCs w:val="18"/>
        </w:rPr>
        <w:t xml:space="preserve"> data from the Energy Regulatory Commission (ERC)</w:t>
      </w:r>
      <w:r>
        <w:rPr>
          <w:rFonts w:ascii="Arial" w:hAnsi="Arial" w:cs="Arial"/>
          <w:color w:val="000000" w:themeColor="text1"/>
          <w:sz w:val="18"/>
          <w:szCs w:val="18"/>
        </w:rPr>
        <w:t xml:space="preserve">, Thailand </w:t>
      </w:r>
      <w:r w:rsidRPr="00906DA0">
        <w:rPr>
          <w:rFonts w:ascii="Arial" w:hAnsi="Arial" w:cs="Arial"/>
          <w:color w:val="000000" w:themeColor="text1"/>
          <w:sz w:val="18"/>
          <w:szCs w:val="18"/>
        </w:rPr>
        <w:t>added 470MW of solar in 2014, followed by 722MW in 2015</w:t>
      </w:r>
      <w:r>
        <w:rPr>
          <w:rFonts w:ascii="Arial" w:hAnsi="Arial" w:cs="Arial" w:hint="eastAsia"/>
          <w:color w:val="000000" w:themeColor="text1"/>
          <w:sz w:val="18"/>
          <w:szCs w:val="18"/>
        </w:rPr>
        <w:t>, and</w:t>
      </w:r>
      <w:r w:rsidRPr="00906DA0">
        <w:rPr>
          <w:rFonts w:ascii="Arial" w:hAnsi="Arial" w:cs="Arial"/>
          <w:color w:val="000000" w:themeColor="text1"/>
          <w:sz w:val="18"/>
          <w:szCs w:val="18"/>
        </w:rPr>
        <w:t xml:space="preserve"> 732MW </w:t>
      </w:r>
      <w:r>
        <w:rPr>
          <w:rFonts w:ascii="Arial" w:hAnsi="Arial" w:cs="Arial" w:hint="eastAsia"/>
          <w:color w:val="000000" w:themeColor="text1"/>
          <w:sz w:val="18"/>
          <w:szCs w:val="18"/>
        </w:rPr>
        <w:t xml:space="preserve">installed in 2016 leading up to September. </w:t>
      </w:r>
      <w:r w:rsidRPr="00306544">
        <w:rPr>
          <w:rFonts w:ascii="Arial" w:hAnsi="Arial" w:cs="Arial"/>
          <w:i/>
          <w:color w:val="000000" w:themeColor="text1"/>
          <w:sz w:val="18"/>
          <w:szCs w:val="18"/>
        </w:rPr>
        <w:t>Thailand Solar Outlook 2017</w:t>
      </w:r>
      <w:r w:rsidRPr="00906DA0">
        <w:rPr>
          <w:rFonts w:ascii="Arial" w:hAnsi="Arial" w:cs="Arial"/>
          <w:color w:val="000000" w:themeColor="text1"/>
          <w:sz w:val="18"/>
          <w:szCs w:val="18"/>
        </w:rPr>
        <w:t>, a report from Bangkok-based law firm Pugnatorius</w:t>
      </w:r>
      <w:r>
        <w:rPr>
          <w:rFonts w:ascii="Arial" w:hAnsi="Arial" w:cs="Arial" w:hint="eastAsia"/>
          <w:color w:val="000000" w:themeColor="text1"/>
          <w:sz w:val="18"/>
          <w:szCs w:val="18"/>
        </w:rPr>
        <w:t xml:space="preserve"> Ltd.,</w:t>
      </w:r>
      <w:r w:rsidRPr="00906DA0">
        <w:rPr>
          <w:rFonts w:ascii="Arial" w:hAnsi="Arial" w:cs="Arial"/>
          <w:color w:val="000000" w:themeColor="text1"/>
          <w:sz w:val="18"/>
          <w:szCs w:val="18"/>
        </w:rPr>
        <w:t xml:space="preserve"> forecast</w:t>
      </w:r>
      <w:r>
        <w:rPr>
          <w:rFonts w:ascii="Arial" w:hAnsi="Arial" w:cs="Arial" w:hint="eastAsia"/>
          <w:color w:val="000000" w:themeColor="text1"/>
          <w:sz w:val="18"/>
          <w:szCs w:val="18"/>
        </w:rPr>
        <w:t>s</w:t>
      </w:r>
      <w:r>
        <w:rPr>
          <w:rFonts w:ascii="Arial" w:hAnsi="Arial" w:cs="Arial"/>
          <w:color w:val="000000" w:themeColor="text1"/>
          <w:sz w:val="18"/>
          <w:szCs w:val="18"/>
        </w:rPr>
        <w:t xml:space="preserve"> that</w:t>
      </w:r>
      <w:r>
        <w:rPr>
          <w:rFonts w:ascii="Arial" w:hAnsi="Arial" w:cs="Arial" w:hint="eastAsia"/>
          <w:color w:val="000000" w:themeColor="text1"/>
          <w:sz w:val="18"/>
          <w:szCs w:val="18"/>
        </w:rPr>
        <w:t xml:space="preserve"> </w:t>
      </w:r>
      <w:r w:rsidRPr="00906DA0">
        <w:rPr>
          <w:rFonts w:ascii="Arial" w:hAnsi="Arial" w:cs="Arial"/>
          <w:color w:val="000000" w:themeColor="text1"/>
          <w:sz w:val="18"/>
          <w:szCs w:val="18"/>
        </w:rPr>
        <w:t>2017 will be Thailand’s "second solar gold rush"</w:t>
      </w:r>
      <w:r>
        <w:rPr>
          <w:rFonts w:ascii="Arial" w:hAnsi="Arial" w:cs="Arial" w:hint="eastAsia"/>
          <w:color w:val="000000" w:themeColor="text1"/>
          <w:sz w:val="18"/>
          <w:szCs w:val="18"/>
        </w:rPr>
        <w:t>,</w:t>
      </w:r>
      <w:r w:rsidRPr="00906DA0">
        <w:rPr>
          <w:rFonts w:ascii="Arial" w:hAnsi="Arial" w:cs="Arial"/>
          <w:color w:val="000000" w:themeColor="text1"/>
          <w:sz w:val="18"/>
          <w:szCs w:val="18"/>
        </w:rPr>
        <w:t xml:space="preserve"> </w:t>
      </w:r>
      <w:r>
        <w:rPr>
          <w:rFonts w:ascii="Arial" w:hAnsi="Arial" w:cs="Arial" w:hint="eastAsia"/>
          <w:color w:val="000000" w:themeColor="text1"/>
          <w:sz w:val="18"/>
          <w:szCs w:val="18"/>
        </w:rPr>
        <w:t>with further industry growth expected as technologies continue to improve and costs fall. Sungrow expects to play a major part in Thailand</w:t>
      </w:r>
      <w:r>
        <w:rPr>
          <w:rFonts w:ascii="Arial" w:hAnsi="Arial" w:cs="Arial"/>
          <w:color w:val="000000" w:themeColor="text1"/>
          <w:sz w:val="18"/>
          <w:szCs w:val="18"/>
        </w:rPr>
        <w:t>’</w:t>
      </w:r>
      <w:r>
        <w:rPr>
          <w:rFonts w:ascii="Arial" w:hAnsi="Arial" w:cs="Arial" w:hint="eastAsia"/>
          <w:color w:val="000000" w:themeColor="text1"/>
          <w:sz w:val="18"/>
          <w:szCs w:val="18"/>
        </w:rPr>
        <w:t xml:space="preserve">s solar market as investment continues to pour into </w:t>
      </w:r>
      <w:r>
        <w:rPr>
          <w:rFonts w:ascii="Arial" w:hAnsi="Arial" w:cs="Arial"/>
          <w:color w:val="000000" w:themeColor="text1"/>
          <w:sz w:val="18"/>
          <w:szCs w:val="18"/>
        </w:rPr>
        <w:t>renewable</w:t>
      </w:r>
      <w:r>
        <w:rPr>
          <w:rFonts w:ascii="Arial" w:hAnsi="Arial" w:cs="Arial" w:hint="eastAsia"/>
          <w:color w:val="000000" w:themeColor="text1"/>
          <w:sz w:val="18"/>
          <w:szCs w:val="18"/>
        </w:rPr>
        <w:t>s.</w:t>
      </w:r>
    </w:p>
    <w:p w14:paraId="482846B1" w14:textId="77777777" w:rsidR="00DB76C4" w:rsidRDefault="00DB76C4" w:rsidP="00DB76C4">
      <w:pPr>
        <w:rPr>
          <w:rFonts w:ascii="Arial" w:hAnsi="Arial" w:cs="Arial"/>
          <w:sz w:val="18"/>
          <w:szCs w:val="18"/>
        </w:rPr>
      </w:pPr>
      <w:r>
        <w:rPr>
          <w:rFonts w:ascii="Arial" w:hAnsi="Arial" w:cs="Arial"/>
          <w:sz w:val="18"/>
          <w:szCs w:val="18"/>
        </w:rPr>
        <w:t>“</w:t>
      </w:r>
      <w:r>
        <w:rPr>
          <w:rFonts w:ascii="Arial" w:hAnsi="Arial" w:cs="Arial" w:hint="eastAsia"/>
          <w:sz w:val="18"/>
          <w:szCs w:val="18"/>
        </w:rPr>
        <w:t>Sungrow remains committed to Thailand</w:t>
      </w:r>
      <w:r>
        <w:rPr>
          <w:rFonts w:ascii="Arial" w:hAnsi="Arial" w:cs="Arial"/>
          <w:sz w:val="18"/>
          <w:szCs w:val="18"/>
        </w:rPr>
        <w:t>’</w:t>
      </w:r>
      <w:r>
        <w:rPr>
          <w:rFonts w:ascii="Arial" w:hAnsi="Arial" w:cs="Arial" w:hint="eastAsia"/>
          <w:sz w:val="18"/>
          <w:szCs w:val="18"/>
        </w:rPr>
        <w:t xml:space="preserve">s PV solar industry as a leading inverter provider with class-leading products and proven ROI. We as a company hope that other ASEAN countries can experience similar growth as </w:t>
      </w:r>
      <w:r>
        <w:rPr>
          <w:rFonts w:ascii="Arial" w:hAnsi="Arial" w:cs="Arial"/>
          <w:sz w:val="18"/>
          <w:szCs w:val="18"/>
        </w:rPr>
        <w:t>the</w:t>
      </w:r>
      <w:r>
        <w:rPr>
          <w:rFonts w:ascii="Arial" w:hAnsi="Arial" w:cs="Arial" w:hint="eastAsia"/>
          <w:sz w:val="18"/>
          <w:szCs w:val="18"/>
        </w:rPr>
        <w:t xml:space="preserve"> </w:t>
      </w:r>
      <w:r>
        <w:rPr>
          <w:rFonts w:ascii="Arial" w:hAnsi="Arial" w:cs="Arial"/>
          <w:sz w:val="18"/>
          <w:szCs w:val="18"/>
        </w:rPr>
        <w:t>renewable</w:t>
      </w:r>
      <w:r>
        <w:rPr>
          <w:rFonts w:ascii="Arial" w:hAnsi="Arial" w:cs="Arial" w:hint="eastAsia"/>
          <w:sz w:val="18"/>
          <w:szCs w:val="18"/>
        </w:rPr>
        <w:t xml:space="preserve"> industry expands globally.</w:t>
      </w:r>
      <w:r>
        <w:rPr>
          <w:rFonts w:ascii="Arial" w:hAnsi="Arial" w:cs="Arial"/>
          <w:sz w:val="18"/>
          <w:szCs w:val="18"/>
        </w:rPr>
        <w:t>”</w:t>
      </w:r>
      <w:r>
        <w:rPr>
          <w:rFonts w:ascii="Arial" w:hAnsi="Arial" w:cs="Arial" w:hint="eastAsia"/>
          <w:sz w:val="18"/>
          <w:szCs w:val="18"/>
        </w:rPr>
        <w:t xml:space="preserve"> </w:t>
      </w:r>
      <w:r>
        <w:rPr>
          <w:rFonts w:ascii="Arial" w:hAnsi="Arial" w:cs="Arial"/>
          <w:sz w:val="18"/>
          <w:szCs w:val="18"/>
        </w:rPr>
        <w:t>said Prof. Renxian Cao, President of Sungrow.</w:t>
      </w:r>
    </w:p>
    <w:p w14:paraId="0A8919F9" w14:textId="77777777" w:rsidR="00BE4DCE" w:rsidRDefault="00BE4DCE" w:rsidP="00BE4DCE">
      <w:pPr>
        <w:rPr>
          <w:rFonts w:ascii="Calibri" w:hAnsi="Calibri" w:cs="Calibri"/>
          <w:bCs/>
          <w:color w:val="000000" w:themeColor="text1"/>
          <w:sz w:val="24"/>
          <w:szCs w:val="24"/>
        </w:rPr>
      </w:pPr>
    </w:p>
    <w:p w14:paraId="0E180CCA" w14:textId="18A037F6" w:rsidR="00BE4DCE" w:rsidRPr="00BE4DCE" w:rsidRDefault="00BE4DCE" w:rsidP="00BE4DCE">
      <w:pPr>
        <w:rPr>
          <w:rFonts w:ascii="Arial" w:hAnsi="Arial" w:cs="Arial"/>
          <w:b/>
          <w:sz w:val="18"/>
          <w:szCs w:val="18"/>
        </w:rPr>
      </w:pPr>
      <w:r w:rsidRPr="00BB138C">
        <w:rPr>
          <w:rFonts w:ascii="Arial" w:hAnsi="Arial" w:cs="Arial" w:hint="eastAsia"/>
          <w:b/>
          <w:sz w:val="18"/>
          <w:szCs w:val="18"/>
        </w:rPr>
        <w:t>About Sungrow</w:t>
      </w:r>
      <w:r>
        <w:rPr>
          <w:rFonts w:ascii="Arial" w:hAnsi="Arial" w:cs="Arial"/>
          <w:b/>
          <w:sz w:val="18"/>
          <w:szCs w:val="18"/>
        </w:rPr>
        <w:br/>
      </w:r>
      <w:r w:rsidRPr="00BB138C">
        <w:rPr>
          <w:rFonts w:ascii="Arial" w:hAnsi="Arial" w:cs="Arial"/>
          <w:sz w:val="18"/>
          <w:szCs w:val="18"/>
          <w:lang w:val="de-DE"/>
        </w:rPr>
        <w:t xml:space="preserve">Sungrow is the world’s leading PV-inverter manufacturer with over 26GW installed globally. Founded in 1997 by the University Professor Renxian Cao, Sungrow is the global leader in research and development in solar inverters, with numerous patents and a broad product portfolio offering solutions for residential, commercial and industrial applications. With a 20-year track record of growth and success, Sungrow’s products are available in over 50 countries, and have maintained a market share of over 30% in China. In 2015, Sungrow successfully occupied a over 20% market share in Germany. Sungrow topped the world with PV inverter shipments in 2015 totaling 8.9GW. To learn more about Sungrow, please visit </w:t>
      </w:r>
      <w:hyperlink r:id="rId6" w:history="1">
        <w:r w:rsidRPr="00E737CF">
          <w:rPr>
            <w:rStyle w:val="Hyperlink"/>
            <w:rFonts w:ascii="Arial" w:hAnsi="Arial" w:cs="Arial"/>
            <w:sz w:val="18"/>
            <w:szCs w:val="18"/>
            <w:lang w:val="de-DE"/>
          </w:rPr>
          <w:t>http://</w:t>
        </w:r>
        <w:r w:rsidRPr="00E737CF">
          <w:rPr>
            <w:rStyle w:val="Hyperlink"/>
            <w:rFonts w:ascii="Arial" w:hAnsi="Arial" w:cs="Arial" w:hint="eastAsia"/>
            <w:sz w:val="18"/>
            <w:szCs w:val="18"/>
            <w:lang w:val="de-DE"/>
          </w:rPr>
          <w:t>www.</w:t>
        </w:r>
        <w:r w:rsidRPr="00E737CF">
          <w:rPr>
            <w:rStyle w:val="Hyperlink"/>
            <w:rFonts w:ascii="Arial" w:hAnsi="Arial" w:cs="Arial"/>
            <w:sz w:val="18"/>
            <w:szCs w:val="18"/>
            <w:lang w:val="de-DE"/>
          </w:rPr>
          <w:t>sungrowpower.com</w:t>
        </w:r>
      </w:hyperlink>
    </w:p>
    <w:p w14:paraId="66A9BE78" w14:textId="77777777" w:rsidR="00C361E3" w:rsidRPr="00AC5166" w:rsidRDefault="00C361E3" w:rsidP="004E25AC">
      <w:pPr>
        <w:spacing w:after="0" w:line="240" w:lineRule="auto"/>
        <w:jc w:val="center"/>
        <w:rPr>
          <w:rFonts w:ascii="Arial" w:hAnsi="Arial" w:cs="Arial"/>
          <w:sz w:val="20"/>
          <w:szCs w:val="20"/>
        </w:rPr>
      </w:pPr>
    </w:p>
    <w:sectPr w:rsidR="00C361E3" w:rsidRPr="00AC516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9229D" w14:textId="77777777" w:rsidR="003B38CB" w:rsidRDefault="003B38CB" w:rsidP="00000562">
      <w:pPr>
        <w:spacing w:after="0" w:line="240" w:lineRule="auto"/>
      </w:pPr>
      <w:r>
        <w:separator/>
      </w:r>
    </w:p>
  </w:endnote>
  <w:endnote w:type="continuationSeparator" w:id="0">
    <w:p w14:paraId="579B26B6" w14:textId="77777777" w:rsidR="003B38CB" w:rsidRDefault="003B38CB" w:rsidP="0000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F4246" w14:textId="77777777" w:rsidR="003B38CB" w:rsidRDefault="003B38CB" w:rsidP="00000562">
      <w:pPr>
        <w:spacing w:after="0" w:line="240" w:lineRule="auto"/>
      </w:pPr>
      <w:r>
        <w:separator/>
      </w:r>
    </w:p>
  </w:footnote>
  <w:footnote w:type="continuationSeparator" w:id="0">
    <w:p w14:paraId="27097791" w14:textId="77777777" w:rsidR="003B38CB" w:rsidRDefault="003B38CB" w:rsidP="0000056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FF73" w14:textId="77777777" w:rsidR="000327A8" w:rsidRPr="00000562" w:rsidRDefault="000327A8" w:rsidP="00000562">
    <w:pPr>
      <w:rPr>
        <w:rFonts w:ascii="Arial" w:hAnsi="Arial" w:cs="Arial"/>
        <w:i/>
        <w:color w:val="FF0000"/>
        <w:sz w:val="20"/>
        <w:szCs w:val="20"/>
      </w:rPr>
    </w:pPr>
    <w:r w:rsidRPr="00000562">
      <w:rPr>
        <w:rFonts w:ascii="Arial" w:hAnsi="Arial" w:cs="Arial"/>
        <w:i/>
        <w:color w:val="FF0000"/>
        <w:sz w:val="20"/>
        <w:szCs w:val="20"/>
      </w:rPr>
      <w:t>For immediate release</w:t>
    </w:r>
    <w:r>
      <w:rPr>
        <w:noProof/>
        <w:lang w:eastAsia="en-GB"/>
      </w:rPr>
      <w:ptab w:relativeTo="margin" w:alignment="right" w:leader="none"/>
    </w:r>
    <w:r>
      <w:rPr>
        <w:noProof/>
        <w:lang w:val="en-US"/>
      </w:rPr>
      <w:drawing>
        <wp:inline distT="0" distB="0" distL="0" distR="0" wp14:anchorId="69568ED0" wp14:editId="38B1B69A">
          <wp:extent cx="1495425" cy="647700"/>
          <wp:effectExtent l="0" t="0" r="9525" b="0"/>
          <wp:docPr id="2" name="Picture 2" descr="Image result for sungrow power supp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grow power suppl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inline>
      </w:drawing>
    </w:r>
  </w:p>
  <w:p w14:paraId="100BC189" w14:textId="77777777" w:rsidR="000327A8" w:rsidRDefault="000327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15B"/>
    <w:rsid w:val="00000562"/>
    <w:rsid w:val="0001779D"/>
    <w:rsid w:val="000327A8"/>
    <w:rsid w:val="00033E38"/>
    <w:rsid w:val="00042F85"/>
    <w:rsid w:val="000738E3"/>
    <w:rsid w:val="00076F4A"/>
    <w:rsid w:val="00080848"/>
    <w:rsid w:val="00087C9A"/>
    <w:rsid w:val="00094EB9"/>
    <w:rsid w:val="000A39E1"/>
    <w:rsid w:val="001B63A2"/>
    <w:rsid w:val="001D7924"/>
    <w:rsid w:val="00206C6A"/>
    <w:rsid w:val="0021594C"/>
    <w:rsid w:val="002740ED"/>
    <w:rsid w:val="00280D7D"/>
    <w:rsid w:val="002C4F44"/>
    <w:rsid w:val="00327F33"/>
    <w:rsid w:val="0033122E"/>
    <w:rsid w:val="00345D63"/>
    <w:rsid w:val="00352C88"/>
    <w:rsid w:val="00353E1A"/>
    <w:rsid w:val="00374B04"/>
    <w:rsid w:val="003B38CB"/>
    <w:rsid w:val="003C3EE0"/>
    <w:rsid w:val="003D29EF"/>
    <w:rsid w:val="00405ED1"/>
    <w:rsid w:val="00464606"/>
    <w:rsid w:val="004B5F53"/>
    <w:rsid w:val="004E25AC"/>
    <w:rsid w:val="00563F00"/>
    <w:rsid w:val="005A686A"/>
    <w:rsid w:val="005C6882"/>
    <w:rsid w:val="005E5417"/>
    <w:rsid w:val="00634FEB"/>
    <w:rsid w:val="00664D98"/>
    <w:rsid w:val="006724D8"/>
    <w:rsid w:val="00673C32"/>
    <w:rsid w:val="00693CCC"/>
    <w:rsid w:val="006E3301"/>
    <w:rsid w:val="006E49AD"/>
    <w:rsid w:val="006E4C96"/>
    <w:rsid w:val="0070215B"/>
    <w:rsid w:val="0071605A"/>
    <w:rsid w:val="00731FEE"/>
    <w:rsid w:val="00776D58"/>
    <w:rsid w:val="00794872"/>
    <w:rsid w:val="007B20E5"/>
    <w:rsid w:val="007F1933"/>
    <w:rsid w:val="00891613"/>
    <w:rsid w:val="008A6D0D"/>
    <w:rsid w:val="008F363D"/>
    <w:rsid w:val="00905008"/>
    <w:rsid w:val="00982762"/>
    <w:rsid w:val="009A4867"/>
    <w:rsid w:val="009D3880"/>
    <w:rsid w:val="00A64C15"/>
    <w:rsid w:val="00A9268D"/>
    <w:rsid w:val="00AC5166"/>
    <w:rsid w:val="00AE073D"/>
    <w:rsid w:val="00B141D4"/>
    <w:rsid w:val="00B337CB"/>
    <w:rsid w:val="00B40F5E"/>
    <w:rsid w:val="00BC2866"/>
    <w:rsid w:val="00BE4DCE"/>
    <w:rsid w:val="00C25E34"/>
    <w:rsid w:val="00C34055"/>
    <w:rsid w:val="00C361E3"/>
    <w:rsid w:val="00C66D7D"/>
    <w:rsid w:val="00C73CC3"/>
    <w:rsid w:val="00C82BDC"/>
    <w:rsid w:val="00CB449F"/>
    <w:rsid w:val="00CD7E42"/>
    <w:rsid w:val="00CE0FA4"/>
    <w:rsid w:val="00D179F0"/>
    <w:rsid w:val="00D3542D"/>
    <w:rsid w:val="00D45B98"/>
    <w:rsid w:val="00D748E5"/>
    <w:rsid w:val="00D767E4"/>
    <w:rsid w:val="00DB76C4"/>
    <w:rsid w:val="00DC1222"/>
    <w:rsid w:val="00DD0EFF"/>
    <w:rsid w:val="00E06C3D"/>
    <w:rsid w:val="00ED00D7"/>
    <w:rsid w:val="00F0359B"/>
    <w:rsid w:val="00F278CF"/>
    <w:rsid w:val="00F473A6"/>
    <w:rsid w:val="00FB50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B3C2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4B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0215B"/>
    <w:rPr>
      <w:color w:val="0000FF"/>
      <w:u w:val="single"/>
    </w:rPr>
  </w:style>
  <w:style w:type="paragraph" w:styleId="Header">
    <w:name w:val="header"/>
    <w:basedOn w:val="Normal"/>
    <w:link w:val="HeaderChar"/>
    <w:uiPriority w:val="99"/>
    <w:unhideWhenUsed/>
    <w:rsid w:val="00000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562"/>
  </w:style>
  <w:style w:type="paragraph" w:styleId="Footer">
    <w:name w:val="footer"/>
    <w:basedOn w:val="Normal"/>
    <w:link w:val="FooterChar"/>
    <w:uiPriority w:val="99"/>
    <w:unhideWhenUsed/>
    <w:rsid w:val="00000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562"/>
  </w:style>
  <w:style w:type="paragraph" w:styleId="BalloonText">
    <w:name w:val="Balloon Text"/>
    <w:basedOn w:val="Normal"/>
    <w:link w:val="BalloonTextChar"/>
    <w:uiPriority w:val="99"/>
    <w:semiHidden/>
    <w:unhideWhenUsed/>
    <w:rsid w:val="00F03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59B"/>
    <w:rPr>
      <w:rFonts w:ascii="Tahoma" w:hAnsi="Tahoma" w:cs="Tahoma"/>
      <w:sz w:val="16"/>
      <w:szCs w:val="16"/>
    </w:rPr>
  </w:style>
  <w:style w:type="character" w:styleId="CommentReference">
    <w:name w:val="annotation reference"/>
    <w:basedOn w:val="DefaultParagraphFont"/>
    <w:uiPriority w:val="99"/>
    <w:semiHidden/>
    <w:unhideWhenUsed/>
    <w:rsid w:val="0021594C"/>
    <w:rPr>
      <w:sz w:val="16"/>
      <w:szCs w:val="16"/>
    </w:rPr>
  </w:style>
  <w:style w:type="paragraph" w:styleId="CommentText">
    <w:name w:val="annotation text"/>
    <w:basedOn w:val="Normal"/>
    <w:link w:val="CommentTextChar"/>
    <w:uiPriority w:val="99"/>
    <w:semiHidden/>
    <w:unhideWhenUsed/>
    <w:rsid w:val="0021594C"/>
    <w:pPr>
      <w:widowControl w:val="0"/>
      <w:spacing w:after="0" w:line="240" w:lineRule="auto"/>
      <w:jc w:val="both"/>
    </w:pPr>
    <w:rPr>
      <w:rFonts w:eastAsiaTheme="minorEastAsia"/>
      <w:kern w:val="2"/>
      <w:sz w:val="20"/>
      <w:szCs w:val="20"/>
      <w:lang w:val="en-US" w:eastAsia="zh-CN"/>
    </w:rPr>
  </w:style>
  <w:style w:type="character" w:customStyle="1" w:styleId="CommentTextChar">
    <w:name w:val="Comment Text Char"/>
    <w:basedOn w:val="DefaultParagraphFont"/>
    <w:link w:val="CommentText"/>
    <w:uiPriority w:val="99"/>
    <w:semiHidden/>
    <w:rsid w:val="0021594C"/>
    <w:rPr>
      <w:rFonts w:eastAsiaTheme="minorEastAsia"/>
      <w:kern w:val="2"/>
      <w:sz w:val="20"/>
      <w:szCs w:val="20"/>
      <w:lang w:val="en-US" w:eastAsia="zh-CN"/>
    </w:rPr>
  </w:style>
  <w:style w:type="paragraph" w:styleId="NoSpacing">
    <w:name w:val="No Spacing"/>
    <w:uiPriority w:val="1"/>
    <w:qFormat/>
    <w:rsid w:val="00C361E3"/>
    <w:pPr>
      <w:spacing w:after="0" w:line="240" w:lineRule="auto"/>
    </w:pPr>
  </w:style>
  <w:style w:type="paragraph" w:styleId="NormalWeb">
    <w:name w:val="Normal (Web)"/>
    <w:basedOn w:val="Normal"/>
    <w:uiPriority w:val="99"/>
    <w:unhideWhenUsed/>
    <w:rsid w:val="001D7924"/>
    <w:pPr>
      <w:spacing w:after="225" w:line="240" w:lineRule="auto"/>
    </w:pPr>
    <w:rPr>
      <w:rFonts w:ascii="Times New Roman" w:eastAsia="Times New Roman" w:hAnsi="Times New Roman" w:cs="Times New Roman"/>
      <w:sz w:val="24"/>
      <w:szCs w:val="24"/>
      <w:lang w:val="de-DE" w:eastAsia="de-DE"/>
    </w:rPr>
  </w:style>
  <w:style w:type="character" w:styleId="Strong">
    <w:name w:val="Strong"/>
    <w:basedOn w:val="DefaultParagraphFont"/>
    <w:uiPriority w:val="22"/>
    <w:qFormat/>
    <w:rsid w:val="001D7924"/>
    <w:rPr>
      <w:b/>
      <w:bCs/>
      <w:color w:val="000000"/>
    </w:rPr>
  </w:style>
  <w:style w:type="character" w:customStyle="1" w:styleId="apple-converted-space">
    <w:name w:val="apple-converted-space"/>
    <w:basedOn w:val="DefaultParagraphFont"/>
    <w:rsid w:val="002C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696138">
      <w:bodyDiv w:val="1"/>
      <w:marLeft w:val="0"/>
      <w:marRight w:val="0"/>
      <w:marTop w:val="0"/>
      <w:marBottom w:val="0"/>
      <w:divBdr>
        <w:top w:val="none" w:sz="0" w:space="0" w:color="auto"/>
        <w:left w:val="none" w:sz="0" w:space="0" w:color="auto"/>
        <w:bottom w:val="none" w:sz="0" w:space="0" w:color="auto"/>
        <w:right w:val="none" w:sz="0" w:space="0" w:color="auto"/>
      </w:divBdr>
      <w:divsChild>
        <w:div w:id="556087033">
          <w:marLeft w:val="0"/>
          <w:marRight w:val="0"/>
          <w:marTop w:val="0"/>
          <w:marBottom w:val="0"/>
          <w:divBdr>
            <w:top w:val="none" w:sz="0" w:space="0" w:color="auto"/>
            <w:left w:val="none" w:sz="0" w:space="0" w:color="auto"/>
            <w:bottom w:val="none" w:sz="0" w:space="0" w:color="auto"/>
            <w:right w:val="none" w:sz="0" w:space="0" w:color="auto"/>
          </w:divBdr>
          <w:divsChild>
            <w:div w:id="668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87531">
      <w:bodyDiv w:val="1"/>
      <w:marLeft w:val="0"/>
      <w:marRight w:val="0"/>
      <w:marTop w:val="0"/>
      <w:marBottom w:val="0"/>
      <w:divBdr>
        <w:top w:val="none" w:sz="0" w:space="0" w:color="auto"/>
        <w:left w:val="none" w:sz="0" w:space="0" w:color="auto"/>
        <w:bottom w:val="none" w:sz="0" w:space="0" w:color="auto"/>
        <w:right w:val="none" w:sz="0" w:space="0" w:color="auto"/>
      </w:divBdr>
    </w:div>
    <w:div w:id="1382827934">
      <w:bodyDiv w:val="1"/>
      <w:marLeft w:val="0"/>
      <w:marRight w:val="0"/>
      <w:marTop w:val="0"/>
      <w:marBottom w:val="0"/>
      <w:divBdr>
        <w:top w:val="none" w:sz="0" w:space="0" w:color="auto"/>
        <w:left w:val="none" w:sz="0" w:space="0" w:color="auto"/>
        <w:bottom w:val="none" w:sz="0" w:space="0" w:color="auto"/>
        <w:right w:val="none" w:sz="0" w:space="0" w:color="auto"/>
      </w:divBdr>
    </w:div>
    <w:div w:id="1581400877">
      <w:bodyDiv w:val="1"/>
      <w:marLeft w:val="0"/>
      <w:marRight w:val="0"/>
      <w:marTop w:val="0"/>
      <w:marBottom w:val="0"/>
      <w:divBdr>
        <w:top w:val="none" w:sz="0" w:space="0" w:color="auto"/>
        <w:left w:val="none" w:sz="0" w:space="0" w:color="auto"/>
        <w:bottom w:val="none" w:sz="0" w:space="0" w:color="auto"/>
        <w:right w:val="none" w:sz="0" w:space="0" w:color="auto"/>
      </w:divBdr>
      <w:divsChild>
        <w:div w:id="577441394">
          <w:marLeft w:val="200"/>
          <w:marRight w:val="0"/>
          <w:marTop w:val="0"/>
          <w:marBottom w:val="0"/>
          <w:divBdr>
            <w:top w:val="none" w:sz="0" w:space="0" w:color="auto"/>
            <w:left w:val="none" w:sz="0" w:space="0" w:color="auto"/>
            <w:bottom w:val="none" w:sz="0" w:space="0" w:color="auto"/>
            <w:right w:val="none" w:sz="0" w:space="0" w:color="auto"/>
          </w:divBdr>
        </w:div>
        <w:div w:id="1409303913">
          <w:marLeft w:val="200"/>
          <w:marRight w:val="0"/>
          <w:marTop w:val="0"/>
          <w:marBottom w:val="0"/>
          <w:divBdr>
            <w:top w:val="none" w:sz="0" w:space="0" w:color="auto"/>
            <w:left w:val="none" w:sz="0" w:space="0" w:color="auto"/>
            <w:bottom w:val="none" w:sz="0" w:space="0" w:color="auto"/>
            <w:right w:val="none" w:sz="0" w:space="0" w:color="auto"/>
          </w:divBdr>
          <w:divsChild>
            <w:div w:id="805975870">
              <w:marLeft w:val="0"/>
              <w:marRight w:val="0"/>
              <w:marTop w:val="319"/>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sungrowpower.com"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382</Words>
  <Characters>2180</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dcterms:created xsi:type="dcterms:W3CDTF">2016-12-05T11:01:00Z</dcterms:created>
  <dcterms:modified xsi:type="dcterms:W3CDTF">2016-12-05T11:01:00Z</dcterms:modified>
</cp:coreProperties>
</file>