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D7517B" w14:textId="77777777" w:rsidR="00AA0D29" w:rsidRPr="006B56AC" w:rsidRDefault="00AA0D29" w:rsidP="00AA0D29">
      <w:pPr>
        <w:spacing w:line="276" w:lineRule="auto"/>
        <w:jc w:val="both"/>
        <w:rPr>
          <w:rFonts w:cstheme="minorHAnsi"/>
          <w:sz w:val="20"/>
          <w:szCs w:val="20"/>
        </w:rPr>
      </w:pPr>
      <w:bookmarkStart w:id="0" w:name="_GoBack"/>
      <w:bookmarkEnd w:id="0"/>
      <w:r w:rsidRPr="006B56AC">
        <w:rPr>
          <w:rFonts w:cstheme="minorHAnsi"/>
          <w:sz w:val="20"/>
          <w:szCs w:val="20"/>
        </w:rPr>
        <w:t>MEDIA RELEASE FROM GROWTHPOINT PROPERTIES</w:t>
      </w:r>
    </w:p>
    <w:p w14:paraId="645DAB1B" w14:textId="77777777" w:rsidR="00AA0D29" w:rsidRPr="006B56AC" w:rsidRDefault="00AA0D29" w:rsidP="00AA0D29">
      <w:pPr>
        <w:spacing w:line="276" w:lineRule="auto"/>
        <w:jc w:val="both"/>
        <w:rPr>
          <w:rFonts w:cstheme="minorHAnsi"/>
          <w:sz w:val="20"/>
          <w:szCs w:val="20"/>
        </w:rPr>
      </w:pPr>
    </w:p>
    <w:p w14:paraId="787A1953" w14:textId="77777777" w:rsidR="00AA0D29" w:rsidRPr="006B56AC" w:rsidRDefault="00AA0D29" w:rsidP="00AA0D29">
      <w:pPr>
        <w:spacing w:line="276" w:lineRule="auto"/>
        <w:jc w:val="both"/>
        <w:rPr>
          <w:rFonts w:cstheme="minorHAnsi"/>
          <w:sz w:val="20"/>
          <w:szCs w:val="20"/>
        </w:rPr>
      </w:pPr>
      <w:r>
        <w:rPr>
          <w:rFonts w:cstheme="minorHAnsi"/>
          <w:sz w:val="20"/>
          <w:szCs w:val="20"/>
        </w:rPr>
        <w:t xml:space="preserve">17 </w:t>
      </w:r>
      <w:r w:rsidRPr="006B56AC">
        <w:rPr>
          <w:rFonts w:cstheme="minorHAnsi"/>
          <w:sz w:val="20"/>
          <w:szCs w:val="20"/>
        </w:rPr>
        <w:t>October 2016</w:t>
      </w:r>
    </w:p>
    <w:p w14:paraId="7F2A8247" w14:textId="77777777" w:rsidR="00AA0D29" w:rsidRPr="006B56AC" w:rsidRDefault="00AA0D29" w:rsidP="00AA0D29">
      <w:pPr>
        <w:spacing w:line="276" w:lineRule="auto"/>
        <w:jc w:val="both"/>
        <w:rPr>
          <w:rFonts w:cstheme="minorHAnsi"/>
          <w:b/>
          <w:sz w:val="20"/>
          <w:szCs w:val="20"/>
        </w:rPr>
      </w:pPr>
    </w:p>
    <w:p w14:paraId="1CD4EB2F" w14:textId="77777777" w:rsidR="00AA0D29" w:rsidRPr="006B56AC" w:rsidRDefault="00AA0D29" w:rsidP="00AA0D29">
      <w:pPr>
        <w:spacing w:line="276" w:lineRule="auto"/>
        <w:jc w:val="center"/>
        <w:rPr>
          <w:rFonts w:cstheme="minorHAnsi"/>
          <w:b/>
          <w:i/>
          <w:sz w:val="20"/>
          <w:szCs w:val="20"/>
        </w:rPr>
      </w:pPr>
      <w:r w:rsidRPr="006B56AC">
        <w:rPr>
          <w:rFonts w:cstheme="minorHAnsi"/>
          <w:b/>
          <w:i/>
          <w:sz w:val="20"/>
          <w:szCs w:val="20"/>
        </w:rPr>
        <w:t>Growthpoint’s Greenfield Industrial Park achieves SA’s first industrial Green Star rating</w:t>
      </w:r>
    </w:p>
    <w:p w14:paraId="2F4F3AA0" w14:textId="77777777" w:rsidR="00AA0D29" w:rsidRPr="006B56AC" w:rsidRDefault="00AA0D29" w:rsidP="00AA0D29">
      <w:pPr>
        <w:spacing w:line="276" w:lineRule="auto"/>
        <w:jc w:val="both"/>
        <w:rPr>
          <w:rFonts w:cstheme="minorHAnsi"/>
          <w:sz w:val="20"/>
          <w:szCs w:val="20"/>
        </w:rPr>
      </w:pPr>
    </w:p>
    <w:p w14:paraId="0D88C9B8" w14:textId="77777777" w:rsidR="00AA0D29" w:rsidRPr="006B56AC" w:rsidRDefault="00AA0D29" w:rsidP="00AA0D29">
      <w:pPr>
        <w:spacing w:line="276" w:lineRule="auto"/>
        <w:jc w:val="both"/>
        <w:rPr>
          <w:rFonts w:cstheme="minorHAnsi"/>
          <w:sz w:val="20"/>
          <w:szCs w:val="20"/>
        </w:rPr>
      </w:pPr>
      <w:r w:rsidRPr="006B56AC">
        <w:rPr>
          <w:rFonts w:cstheme="minorHAnsi"/>
          <w:sz w:val="20"/>
          <w:szCs w:val="20"/>
        </w:rPr>
        <w:t>Growthpoint Properties’ Greenfield Industrial Park in Cape Town has been awarded South Africa’s first ever Green Star SA rating for an industrial property.</w:t>
      </w:r>
    </w:p>
    <w:p w14:paraId="53AF5728" w14:textId="77777777" w:rsidR="00AA0D29" w:rsidRPr="006B56AC" w:rsidRDefault="00AA0D29" w:rsidP="00AA0D29">
      <w:pPr>
        <w:spacing w:line="276" w:lineRule="auto"/>
        <w:jc w:val="both"/>
        <w:rPr>
          <w:rFonts w:cstheme="minorHAnsi"/>
          <w:sz w:val="20"/>
          <w:szCs w:val="20"/>
        </w:rPr>
      </w:pPr>
    </w:p>
    <w:p w14:paraId="08AF8608" w14:textId="77777777" w:rsidR="00AA0D29" w:rsidRPr="006B56AC" w:rsidRDefault="00AA0D29" w:rsidP="00AA0D29">
      <w:pPr>
        <w:spacing w:line="276" w:lineRule="auto"/>
        <w:jc w:val="both"/>
        <w:rPr>
          <w:rFonts w:cstheme="minorHAnsi"/>
          <w:sz w:val="20"/>
          <w:szCs w:val="20"/>
        </w:rPr>
      </w:pPr>
      <w:r w:rsidRPr="006B56AC">
        <w:rPr>
          <w:rFonts w:cstheme="minorHAnsi"/>
          <w:sz w:val="20"/>
          <w:szCs w:val="20"/>
        </w:rPr>
        <w:t>In a milestone achievement for green building in South Africa, Greenfield received a 4-Star Custom Industrial As-Built Green Star SA certification from the Green Building Council South Africa (GBCSA).</w:t>
      </w:r>
    </w:p>
    <w:p w14:paraId="50B594FB" w14:textId="77777777" w:rsidR="00AA0D29" w:rsidRPr="006B56AC" w:rsidRDefault="00AA0D29" w:rsidP="00AA0D29">
      <w:pPr>
        <w:spacing w:line="276" w:lineRule="auto"/>
        <w:jc w:val="both"/>
        <w:rPr>
          <w:rFonts w:cstheme="minorHAnsi"/>
          <w:sz w:val="20"/>
          <w:szCs w:val="20"/>
        </w:rPr>
      </w:pPr>
    </w:p>
    <w:p w14:paraId="6121443D" w14:textId="77777777" w:rsidR="00AA0D29" w:rsidRPr="006B56AC" w:rsidRDefault="00AA0D29" w:rsidP="00AA0D29">
      <w:pPr>
        <w:spacing w:line="276" w:lineRule="auto"/>
        <w:jc w:val="both"/>
        <w:rPr>
          <w:rFonts w:cstheme="minorHAnsi"/>
          <w:sz w:val="20"/>
          <w:szCs w:val="20"/>
        </w:rPr>
      </w:pPr>
      <w:r w:rsidRPr="006B56AC">
        <w:rPr>
          <w:rFonts w:cstheme="minorHAnsi"/>
          <w:sz w:val="20"/>
          <w:szCs w:val="20"/>
        </w:rPr>
        <w:t>Engelbert Binedell, Growthpoint Properties Industrial Division Director, comments: “We are delighted Greenfield has become the country’s very first certified green industrial property. Growthpoint is proud to be part of creating a greener, more sustainable built environment for South Africa.”</w:t>
      </w:r>
    </w:p>
    <w:p w14:paraId="5443B6F2" w14:textId="77777777" w:rsidR="00AA0D29" w:rsidRPr="006B56AC" w:rsidRDefault="00AA0D29" w:rsidP="00AA0D29">
      <w:pPr>
        <w:spacing w:line="276" w:lineRule="auto"/>
        <w:jc w:val="both"/>
        <w:rPr>
          <w:rFonts w:cstheme="minorHAnsi"/>
          <w:sz w:val="20"/>
          <w:szCs w:val="20"/>
        </w:rPr>
      </w:pPr>
    </w:p>
    <w:p w14:paraId="44CE3323" w14:textId="77777777" w:rsidR="00AA0D29" w:rsidRPr="006B56AC" w:rsidRDefault="00AA0D29" w:rsidP="00AA0D29">
      <w:pPr>
        <w:pStyle w:val="s4"/>
        <w:spacing w:before="0" w:beforeAutospacing="0" w:after="0" w:afterAutospacing="0" w:line="276" w:lineRule="auto"/>
        <w:jc w:val="both"/>
        <w:rPr>
          <w:rStyle w:val="s7"/>
          <w:rFonts w:ascii="Trebuchet MS" w:hAnsi="Trebuchet MS" w:cstheme="minorHAnsi"/>
          <w:sz w:val="20"/>
          <w:szCs w:val="20"/>
        </w:rPr>
      </w:pPr>
      <w:r w:rsidRPr="006B56AC">
        <w:rPr>
          <w:rStyle w:val="s7"/>
          <w:rFonts w:ascii="Trebuchet MS" w:hAnsi="Trebuchet MS" w:cstheme="minorHAnsi"/>
          <w:sz w:val="20"/>
          <w:szCs w:val="20"/>
        </w:rPr>
        <w:t>Growthpoint owns or co-owns the largest portfolio of Green Star SA certified buildings of any company in South Africa</w:t>
      </w:r>
      <w:r>
        <w:rPr>
          <w:rStyle w:val="s7"/>
          <w:rFonts w:ascii="Trebuchet MS" w:hAnsi="Trebuchet MS" w:cstheme="minorHAnsi"/>
          <w:sz w:val="20"/>
          <w:szCs w:val="20"/>
        </w:rPr>
        <w:t>, comprising 50 properties so far</w:t>
      </w:r>
      <w:r w:rsidRPr="006B56AC">
        <w:rPr>
          <w:rStyle w:val="s7"/>
          <w:rFonts w:ascii="Trebuchet MS" w:hAnsi="Trebuchet MS" w:cstheme="minorHAnsi"/>
          <w:sz w:val="20"/>
          <w:szCs w:val="20"/>
        </w:rPr>
        <w:t>. It holds a</w:t>
      </w:r>
      <w:r>
        <w:rPr>
          <w:rStyle w:val="s7"/>
          <w:rFonts w:ascii="Trebuchet MS" w:hAnsi="Trebuchet MS" w:cstheme="minorHAnsi"/>
          <w:sz w:val="20"/>
          <w:szCs w:val="20"/>
        </w:rPr>
        <w:t>n entire</w:t>
      </w:r>
      <w:r w:rsidRPr="006B56AC">
        <w:rPr>
          <w:rStyle w:val="s7"/>
          <w:rFonts w:ascii="Trebuchet MS" w:hAnsi="Trebuchet MS" w:cstheme="minorHAnsi"/>
          <w:sz w:val="20"/>
          <w:szCs w:val="20"/>
        </w:rPr>
        <w:t xml:space="preserve"> quarter of South Africa’s 200 office, retail and properties independently certified to date.</w:t>
      </w:r>
    </w:p>
    <w:p w14:paraId="358C9BA9" w14:textId="77777777" w:rsidR="00AA0D29" w:rsidRPr="006B56AC" w:rsidRDefault="00AA0D29" w:rsidP="00AA0D29">
      <w:pPr>
        <w:pStyle w:val="s4"/>
        <w:spacing w:before="0" w:beforeAutospacing="0" w:after="0" w:afterAutospacing="0" w:line="276" w:lineRule="auto"/>
        <w:jc w:val="both"/>
        <w:rPr>
          <w:rStyle w:val="s7"/>
          <w:rFonts w:ascii="Trebuchet MS" w:hAnsi="Trebuchet MS" w:cstheme="minorHAnsi"/>
          <w:sz w:val="20"/>
          <w:szCs w:val="20"/>
        </w:rPr>
      </w:pPr>
    </w:p>
    <w:p w14:paraId="6E3C62FB" w14:textId="77777777" w:rsidR="00AA0D29" w:rsidRPr="006B56AC" w:rsidRDefault="00AA0D29" w:rsidP="00AA0D29">
      <w:pPr>
        <w:spacing w:line="276" w:lineRule="auto"/>
        <w:jc w:val="both"/>
        <w:rPr>
          <w:rFonts w:cstheme="minorHAnsi"/>
          <w:sz w:val="20"/>
          <w:szCs w:val="20"/>
        </w:rPr>
      </w:pPr>
      <w:r w:rsidRPr="006B56AC">
        <w:rPr>
          <w:rFonts w:cstheme="minorHAnsi"/>
          <w:sz w:val="20"/>
          <w:szCs w:val="20"/>
        </w:rPr>
        <w:t xml:space="preserve">Greenfield is the latest property to join Growthpoint’s brilliant constellation of Green Star SA rated buildings. </w:t>
      </w:r>
    </w:p>
    <w:p w14:paraId="1DAE270E" w14:textId="77777777" w:rsidR="00AA0D29" w:rsidRPr="006B56AC" w:rsidRDefault="00AA0D29" w:rsidP="00AA0D29">
      <w:pPr>
        <w:spacing w:line="276" w:lineRule="auto"/>
        <w:jc w:val="both"/>
        <w:rPr>
          <w:rFonts w:cstheme="minorHAnsi"/>
          <w:sz w:val="20"/>
          <w:szCs w:val="20"/>
        </w:rPr>
      </w:pPr>
    </w:p>
    <w:p w14:paraId="3D1CFEE8" w14:textId="77777777" w:rsidR="00AA0D29" w:rsidRPr="006B56AC" w:rsidRDefault="00AA0D29" w:rsidP="00AA0D29">
      <w:pPr>
        <w:spacing w:line="276" w:lineRule="auto"/>
        <w:jc w:val="both"/>
        <w:rPr>
          <w:rFonts w:cstheme="minorHAnsi"/>
          <w:sz w:val="20"/>
          <w:szCs w:val="20"/>
        </w:rPr>
      </w:pPr>
      <w:r w:rsidRPr="006B56AC">
        <w:rPr>
          <w:rFonts w:cstheme="minorHAnsi"/>
          <w:sz w:val="20"/>
          <w:szCs w:val="20"/>
        </w:rPr>
        <w:t>Congratulating Growthpoint on its achievement, Brian Wilkinson, CEO of the GBCSA, comments: “Earning South Africa’s first Custom Industrial As Built Green Star SA rating for Greenfield continues Growthpoint’s track record of exceptional green building leadership. Growthpoint’s commitment to sustainability and resource efficiency has introduced innovation to the sector and can be seen in the sheer number of certified properties in its portfolio.”</w:t>
      </w:r>
    </w:p>
    <w:p w14:paraId="1C6BD450" w14:textId="77777777" w:rsidR="00AA0D29" w:rsidRPr="006B56AC" w:rsidRDefault="00AA0D29" w:rsidP="00AA0D29">
      <w:pPr>
        <w:spacing w:line="276" w:lineRule="auto"/>
        <w:jc w:val="both"/>
        <w:rPr>
          <w:rFonts w:cstheme="minorHAnsi"/>
          <w:sz w:val="20"/>
          <w:szCs w:val="20"/>
        </w:rPr>
      </w:pPr>
    </w:p>
    <w:p w14:paraId="6FBCC638" w14:textId="77777777" w:rsidR="00AA0D29" w:rsidRPr="006B56AC" w:rsidRDefault="00AA0D29" w:rsidP="00AA0D29">
      <w:pPr>
        <w:pStyle w:val="PlainText"/>
        <w:spacing w:line="276" w:lineRule="auto"/>
        <w:jc w:val="both"/>
        <w:rPr>
          <w:rFonts w:ascii="Trebuchet MS" w:hAnsi="Trebuchet MS" w:cstheme="minorHAnsi"/>
          <w:sz w:val="20"/>
          <w:szCs w:val="20"/>
        </w:rPr>
      </w:pPr>
      <w:r w:rsidRPr="006B56AC">
        <w:rPr>
          <w:rFonts w:ascii="Trebuchet MS" w:hAnsi="Trebuchet MS" w:cstheme="minorHAnsi"/>
          <w:sz w:val="20"/>
          <w:szCs w:val="20"/>
        </w:rPr>
        <w:t>Designed with sustainability in mind, Greenfield is a quality, efficient and upmarket industrial park on a prime 3.4 hectare site in Airport Industria, near Cape Town International Airport. Greenfield includes 21,000sqm of space, designed to meet the needs of modern business. It is the landmark redevelopment of the former Wasteman site. It enjoys easy access with good proximity to the N2 highway, with excellent visibility with prominent signage exposure.</w:t>
      </w:r>
    </w:p>
    <w:p w14:paraId="380D4549" w14:textId="77777777" w:rsidR="00AA0D29" w:rsidRPr="006B56AC" w:rsidRDefault="00AA0D29" w:rsidP="00AA0D29">
      <w:pPr>
        <w:spacing w:line="276" w:lineRule="auto"/>
        <w:jc w:val="both"/>
        <w:rPr>
          <w:rFonts w:cstheme="minorHAnsi"/>
          <w:sz w:val="20"/>
          <w:szCs w:val="20"/>
        </w:rPr>
      </w:pPr>
    </w:p>
    <w:p w14:paraId="7027CD92" w14:textId="77777777" w:rsidR="00AA0D29" w:rsidRPr="006B56AC" w:rsidRDefault="00AA0D29" w:rsidP="00AA0D29">
      <w:pPr>
        <w:pStyle w:val="PlainText"/>
        <w:spacing w:line="276" w:lineRule="auto"/>
        <w:jc w:val="both"/>
        <w:rPr>
          <w:rFonts w:ascii="Trebuchet MS" w:hAnsi="Trebuchet MS" w:cstheme="minorHAnsi"/>
          <w:sz w:val="20"/>
          <w:szCs w:val="20"/>
        </w:rPr>
      </w:pPr>
      <w:r w:rsidRPr="006B56AC">
        <w:rPr>
          <w:rFonts w:ascii="Trebuchet MS" w:hAnsi="Trebuchet MS" w:cstheme="minorHAnsi"/>
          <w:sz w:val="20"/>
          <w:szCs w:val="20"/>
        </w:rPr>
        <w:t>Riaan Munnik, Development Manager at Growthpoint Properties, explains: “Right from the start, we prioritised sustainability for Greenfield. As we progressed with the project, we realised it had the potential to achieve a ground-breaking Green Star SA certification.”</w:t>
      </w:r>
    </w:p>
    <w:p w14:paraId="420641E4" w14:textId="77777777" w:rsidR="00AA0D29" w:rsidRPr="006B56AC" w:rsidRDefault="00AA0D29" w:rsidP="00AA0D29">
      <w:pPr>
        <w:pStyle w:val="PlainText"/>
        <w:spacing w:line="276" w:lineRule="auto"/>
        <w:jc w:val="both"/>
        <w:rPr>
          <w:rFonts w:ascii="Trebuchet MS" w:hAnsi="Trebuchet MS" w:cstheme="minorHAnsi"/>
          <w:sz w:val="20"/>
          <w:szCs w:val="20"/>
        </w:rPr>
      </w:pPr>
    </w:p>
    <w:p w14:paraId="051A9861" w14:textId="77777777" w:rsidR="00AA0D29" w:rsidRDefault="00AA0D29" w:rsidP="00AA0D29">
      <w:pPr>
        <w:pStyle w:val="PlainText"/>
        <w:spacing w:line="276" w:lineRule="auto"/>
        <w:jc w:val="both"/>
        <w:rPr>
          <w:rFonts w:ascii="Trebuchet MS" w:hAnsi="Trebuchet MS" w:cstheme="minorHAnsi"/>
          <w:sz w:val="20"/>
          <w:szCs w:val="20"/>
        </w:rPr>
      </w:pPr>
      <w:r w:rsidRPr="006B56AC">
        <w:rPr>
          <w:rFonts w:ascii="Trebuchet MS" w:hAnsi="Trebuchet MS" w:cstheme="minorHAnsi"/>
          <w:sz w:val="20"/>
          <w:szCs w:val="20"/>
        </w:rPr>
        <w:t xml:space="preserve">Growthpoint’s green building consultants for Greenfield, Sally Misplon from Misplon Consulting and Francois Retief from Sow &amp; Reap, examined this opportunity further. Collaborating with GBCSA, they jointly developed a custom new build certification for the industrial facility, which is a progressive approach to ensuring more building types can be certified by the GBCSA. The custom process uses </w:t>
      </w:r>
      <w:r w:rsidRPr="006B56AC">
        <w:rPr>
          <w:rFonts w:ascii="Trebuchet MS" w:hAnsi="Trebuchet MS" w:cstheme="minorHAnsi"/>
          <w:sz w:val="20"/>
          <w:szCs w:val="20"/>
        </w:rPr>
        <w:lastRenderedPageBreak/>
        <w:t xml:space="preserve">around 80% of existing Green Star SA tools making minor changes to allow application to other sectors for which tools have not yet been developed. To ensure robustness and relevance, the custom process goes through an independent peer review before it is finalised as a rating tool for the project. </w:t>
      </w:r>
    </w:p>
    <w:p w14:paraId="68547ED4" w14:textId="77777777" w:rsidR="00AA0D29" w:rsidRPr="006B56AC" w:rsidRDefault="00AA0D29" w:rsidP="00AA0D29">
      <w:pPr>
        <w:pStyle w:val="PlainText"/>
        <w:spacing w:line="276" w:lineRule="auto"/>
        <w:jc w:val="both"/>
        <w:rPr>
          <w:rFonts w:ascii="Trebuchet MS" w:hAnsi="Trebuchet MS" w:cstheme="minorHAnsi"/>
          <w:color w:val="000000" w:themeColor="text1"/>
          <w:sz w:val="20"/>
          <w:szCs w:val="20"/>
        </w:rPr>
      </w:pPr>
      <w:r w:rsidRPr="006B56AC">
        <w:rPr>
          <w:rFonts w:ascii="Trebuchet MS" w:hAnsi="Trebuchet MS" w:cstheme="minorHAnsi"/>
          <w:sz w:val="20"/>
          <w:szCs w:val="20"/>
        </w:rPr>
        <w:t xml:space="preserve">The </w:t>
      </w:r>
      <w:r w:rsidRPr="006B56AC">
        <w:rPr>
          <w:rFonts w:ascii="Trebuchet MS" w:hAnsi="Trebuchet MS" w:cstheme="minorHAnsi"/>
          <w:color w:val="000000" w:themeColor="text1"/>
          <w:sz w:val="20"/>
          <w:szCs w:val="20"/>
        </w:rPr>
        <w:t xml:space="preserve">Greenfield project was a wonderful opportunity to apply this process, which proved successful </w:t>
      </w:r>
      <w:r>
        <w:rPr>
          <w:rFonts w:ascii="Trebuchet MS" w:hAnsi="Trebuchet MS" w:cstheme="minorHAnsi"/>
          <w:color w:val="000000" w:themeColor="text1"/>
          <w:sz w:val="20"/>
          <w:szCs w:val="20"/>
        </w:rPr>
        <w:t>due to, among</w:t>
      </w:r>
      <w:r w:rsidRPr="006B56AC">
        <w:rPr>
          <w:rFonts w:ascii="Trebuchet MS" w:hAnsi="Trebuchet MS" w:cstheme="minorHAnsi"/>
          <w:color w:val="000000" w:themeColor="text1"/>
          <w:sz w:val="20"/>
          <w:szCs w:val="20"/>
        </w:rPr>
        <w:t xml:space="preserve"> other things, the Green Star experience that Misplon and Retief added to the process.</w:t>
      </w:r>
    </w:p>
    <w:p w14:paraId="0C9270B2" w14:textId="77777777" w:rsidR="00AA0D29" w:rsidRPr="006B56AC" w:rsidRDefault="00AA0D29" w:rsidP="00AA0D29">
      <w:pPr>
        <w:pStyle w:val="PlainText"/>
        <w:spacing w:line="276" w:lineRule="auto"/>
        <w:jc w:val="both"/>
        <w:rPr>
          <w:rFonts w:ascii="Trebuchet MS" w:hAnsi="Trebuchet MS" w:cstheme="minorHAnsi"/>
          <w:color w:val="000000" w:themeColor="text1"/>
          <w:sz w:val="20"/>
          <w:szCs w:val="20"/>
        </w:rPr>
      </w:pPr>
    </w:p>
    <w:p w14:paraId="68FA22CB" w14:textId="77777777" w:rsidR="00AA0D29" w:rsidRPr="006B56AC" w:rsidRDefault="00AA0D29" w:rsidP="00AA0D29">
      <w:pPr>
        <w:pStyle w:val="PlainText"/>
        <w:spacing w:line="276" w:lineRule="auto"/>
        <w:jc w:val="both"/>
        <w:rPr>
          <w:rFonts w:ascii="Trebuchet MS" w:hAnsi="Trebuchet MS" w:cstheme="minorHAnsi"/>
          <w:color w:val="000000" w:themeColor="text1"/>
          <w:sz w:val="20"/>
          <w:szCs w:val="20"/>
        </w:rPr>
      </w:pPr>
      <w:r w:rsidRPr="006B56AC">
        <w:rPr>
          <w:rFonts w:ascii="Trebuchet MS" w:hAnsi="Trebuchet MS"/>
          <w:color w:val="000000" w:themeColor="text1"/>
          <w:sz w:val="20"/>
          <w:szCs w:val="20"/>
          <w:lang w:val="en-ZA"/>
        </w:rPr>
        <w:t>In addition, Architect Stuart Anderson from Loudon Perry Anderson Architects played a significant role in ensuring the green building rating was achieved through architectural design that incorporates many sustainable design principles.</w:t>
      </w:r>
    </w:p>
    <w:p w14:paraId="5F15C68C" w14:textId="77777777" w:rsidR="00AA0D29" w:rsidRPr="006B56AC" w:rsidRDefault="00AA0D29" w:rsidP="00AA0D29">
      <w:pPr>
        <w:pStyle w:val="PlainText"/>
        <w:spacing w:line="276" w:lineRule="auto"/>
        <w:jc w:val="both"/>
        <w:rPr>
          <w:rFonts w:ascii="Trebuchet MS" w:hAnsi="Trebuchet MS" w:cstheme="minorHAnsi"/>
          <w:sz w:val="20"/>
          <w:szCs w:val="20"/>
        </w:rPr>
      </w:pPr>
    </w:p>
    <w:p w14:paraId="616ECBEA" w14:textId="77777777" w:rsidR="00AA0D29" w:rsidRPr="006B56AC" w:rsidRDefault="00AA0D29" w:rsidP="00AA0D29">
      <w:pPr>
        <w:pStyle w:val="PlainText"/>
        <w:spacing w:line="276" w:lineRule="auto"/>
        <w:jc w:val="both"/>
        <w:rPr>
          <w:rFonts w:ascii="Trebuchet MS" w:hAnsi="Trebuchet MS" w:cstheme="minorHAnsi"/>
          <w:sz w:val="20"/>
          <w:szCs w:val="20"/>
        </w:rPr>
      </w:pPr>
      <w:r w:rsidRPr="006B56AC">
        <w:rPr>
          <w:rFonts w:ascii="Trebuchet MS" w:hAnsi="Trebuchet MS" w:cstheme="minorHAnsi"/>
          <w:sz w:val="20"/>
          <w:szCs w:val="20"/>
        </w:rPr>
        <w:t>True to its name, Greenfield provides innovative green industrial space. It achieves this with features including sustainable energy from solar photovoltaic panels, water-wise landscaping, waterless urinals, recycling, low-energy light fittings that complement its smart design which uses natural light to save on lighting costs. What’s more, it creates a healthy and appealing working environment with breakaway areas for staff as well as shower facilities for cyclists and runners.</w:t>
      </w:r>
    </w:p>
    <w:p w14:paraId="7291AECA" w14:textId="77777777" w:rsidR="00AA0D29" w:rsidRPr="006B56AC" w:rsidRDefault="00AA0D29" w:rsidP="00AA0D29">
      <w:pPr>
        <w:pStyle w:val="PlainText"/>
        <w:spacing w:line="276" w:lineRule="auto"/>
        <w:jc w:val="both"/>
        <w:rPr>
          <w:rFonts w:ascii="Trebuchet MS" w:hAnsi="Trebuchet MS" w:cstheme="minorHAnsi"/>
          <w:sz w:val="20"/>
          <w:szCs w:val="20"/>
        </w:rPr>
      </w:pPr>
    </w:p>
    <w:p w14:paraId="59EB72F8" w14:textId="77777777" w:rsidR="00AA0D29" w:rsidRPr="006B56AC" w:rsidRDefault="00AA0D29" w:rsidP="00AA0D29">
      <w:pPr>
        <w:pStyle w:val="NormalWeb"/>
        <w:spacing w:before="0" w:beforeAutospacing="0" w:after="0" w:afterAutospacing="0" w:line="276" w:lineRule="auto"/>
        <w:jc w:val="both"/>
        <w:rPr>
          <w:rFonts w:ascii="Trebuchet MS" w:hAnsi="Trebuchet MS" w:cstheme="minorHAnsi"/>
          <w:sz w:val="20"/>
          <w:szCs w:val="20"/>
        </w:rPr>
      </w:pPr>
      <w:r w:rsidRPr="006B56AC">
        <w:rPr>
          <w:rFonts w:ascii="Trebuchet MS" w:hAnsi="Trebuchet MS" w:cstheme="minorHAnsi"/>
          <w:sz w:val="20"/>
          <w:szCs w:val="20"/>
        </w:rPr>
        <w:t xml:space="preserve">Setting new benchmarks for sustainability in the South African industrial sector, Greenfield achieved full scores for energy efficiency for its rating. It will be a key pilot project for net-zero energy buildings in the country, because the base building (excluding tenant loads) produces as much of its own energy as is consumed by it over the course of a year. </w:t>
      </w:r>
    </w:p>
    <w:p w14:paraId="38A66A0A" w14:textId="77777777" w:rsidR="00AA0D29" w:rsidRPr="006B56AC" w:rsidRDefault="00AA0D29" w:rsidP="00AA0D29">
      <w:pPr>
        <w:pStyle w:val="NormalWeb"/>
        <w:spacing w:before="0" w:beforeAutospacing="0" w:after="0" w:afterAutospacing="0" w:line="276" w:lineRule="auto"/>
        <w:jc w:val="both"/>
        <w:rPr>
          <w:rFonts w:ascii="Trebuchet MS" w:hAnsi="Trebuchet MS" w:cstheme="minorHAnsi"/>
          <w:sz w:val="20"/>
          <w:szCs w:val="20"/>
        </w:rPr>
      </w:pPr>
    </w:p>
    <w:p w14:paraId="633EC238" w14:textId="77777777" w:rsidR="00AA0D29" w:rsidRPr="006B56AC" w:rsidRDefault="00AA0D29" w:rsidP="00AA0D29">
      <w:pPr>
        <w:pStyle w:val="NormalWeb"/>
        <w:spacing w:before="0" w:beforeAutospacing="0" w:after="0" w:afterAutospacing="0" w:line="276" w:lineRule="auto"/>
        <w:jc w:val="both"/>
        <w:rPr>
          <w:rFonts w:ascii="Trebuchet MS" w:hAnsi="Trebuchet MS" w:cstheme="minorHAnsi"/>
          <w:sz w:val="20"/>
          <w:szCs w:val="20"/>
        </w:rPr>
      </w:pPr>
      <w:r w:rsidRPr="006B56AC">
        <w:rPr>
          <w:rFonts w:ascii="Trebuchet MS" w:hAnsi="Trebuchet MS" w:cstheme="minorHAnsi"/>
          <w:sz w:val="20"/>
          <w:szCs w:val="20"/>
          <w:lang w:eastAsia="en-US"/>
        </w:rPr>
        <w:t xml:space="preserve">GBCSA has pledged to introduce a net-zero building certification scheme and is targeting 2,500 commercial green building certifications and 10,000 residential green building certified homes in South Africa by 2020. It made this commitment at the United Nations’ Conference of the Parties (COP21) in December 2015. For GBCSA, </w:t>
      </w:r>
      <w:r w:rsidRPr="006B56AC">
        <w:rPr>
          <w:rFonts w:ascii="Trebuchet MS" w:hAnsi="Trebuchet MS" w:cstheme="minorHAnsi"/>
          <w:sz w:val="20"/>
          <w:szCs w:val="20"/>
        </w:rPr>
        <w:t>Growthpoint is a key partner in achieving these commitments.</w:t>
      </w:r>
    </w:p>
    <w:p w14:paraId="79ADCE35" w14:textId="77777777" w:rsidR="00AA0D29" w:rsidRPr="006B56AC" w:rsidRDefault="00AA0D29" w:rsidP="00AA0D29">
      <w:pPr>
        <w:pStyle w:val="PlainText"/>
        <w:spacing w:line="276" w:lineRule="auto"/>
        <w:jc w:val="both"/>
        <w:rPr>
          <w:rFonts w:ascii="Trebuchet MS" w:hAnsi="Trebuchet MS" w:cstheme="minorHAnsi"/>
          <w:sz w:val="20"/>
          <w:szCs w:val="20"/>
        </w:rPr>
      </w:pPr>
    </w:p>
    <w:p w14:paraId="1BCCCEBA" w14:textId="77777777" w:rsidR="00AA0D29" w:rsidRPr="006B56AC" w:rsidRDefault="00AA0D29" w:rsidP="00AA0D29">
      <w:pPr>
        <w:pStyle w:val="PlainText"/>
        <w:spacing w:line="276" w:lineRule="auto"/>
        <w:jc w:val="both"/>
        <w:rPr>
          <w:rFonts w:ascii="Trebuchet MS" w:hAnsi="Trebuchet MS" w:cstheme="minorHAnsi"/>
          <w:sz w:val="20"/>
          <w:szCs w:val="20"/>
        </w:rPr>
      </w:pPr>
      <w:r w:rsidRPr="006B56AC">
        <w:rPr>
          <w:rFonts w:ascii="Trebuchet MS" w:hAnsi="Trebuchet MS" w:cstheme="minorHAnsi"/>
          <w:sz w:val="20"/>
          <w:szCs w:val="20"/>
        </w:rPr>
        <w:t>Binedell says: “We constantly pursue energy and water efficient projects to make our buildings more economical, sustainable and attractive to clients. With Greenfield, we have created a landmark industrial property that is respectful of the environment and saves its occupants money.”</w:t>
      </w:r>
    </w:p>
    <w:p w14:paraId="1B2378A2" w14:textId="77777777" w:rsidR="00AA0D29" w:rsidRPr="006B56AC" w:rsidRDefault="00AA0D29" w:rsidP="00AA0D29">
      <w:pPr>
        <w:pStyle w:val="PlainText"/>
        <w:spacing w:line="276" w:lineRule="auto"/>
        <w:jc w:val="both"/>
        <w:rPr>
          <w:rFonts w:ascii="Trebuchet MS" w:hAnsi="Trebuchet MS" w:cstheme="minorHAnsi"/>
          <w:sz w:val="20"/>
          <w:szCs w:val="20"/>
        </w:rPr>
      </w:pPr>
    </w:p>
    <w:p w14:paraId="3AD7A822" w14:textId="77777777" w:rsidR="00AA0D29" w:rsidRPr="006B56AC" w:rsidRDefault="00AA0D29" w:rsidP="00AA0D29">
      <w:pPr>
        <w:pStyle w:val="s4"/>
        <w:spacing w:before="0" w:beforeAutospacing="0" w:after="0" w:afterAutospacing="0" w:line="276" w:lineRule="auto"/>
        <w:jc w:val="both"/>
        <w:rPr>
          <w:rStyle w:val="s3"/>
          <w:rFonts w:ascii="Trebuchet MS" w:hAnsi="Trebuchet MS" w:cstheme="minorHAnsi"/>
          <w:sz w:val="20"/>
          <w:szCs w:val="20"/>
        </w:rPr>
      </w:pPr>
      <w:r w:rsidRPr="006B56AC">
        <w:rPr>
          <w:rFonts w:ascii="Trebuchet MS" w:hAnsi="Trebuchet MS" w:cstheme="minorHAnsi"/>
          <w:sz w:val="20"/>
          <w:szCs w:val="20"/>
          <w:lang w:val="en-ZA" w:eastAsia="en-US"/>
        </w:rPr>
        <w:t>Binedell</w:t>
      </w:r>
      <w:r w:rsidRPr="006B56AC">
        <w:rPr>
          <w:rStyle w:val="s3"/>
          <w:rFonts w:ascii="Trebuchet MS" w:hAnsi="Trebuchet MS" w:cstheme="minorHAnsi"/>
          <w:sz w:val="20"/>
          <w:szCs w:val="20"/>
        </w:rPr>
        <w:t xml:space="preserve"> notes that Growthpoint recognises the significant benefits of green building and is committed to driving it forward in its own substantial portfolio of industrial properties, including taking the lessons from its work at Greenfield and applying them to other industrial properties across South Africa in future.</w:t>
      </w:r>
    </w:p>
    <w:p w14:paraId="7E59EC8D" w14:textId="77777777" w:rsidR="00AA0D29" w:rsidRPr="006B56AC" w:rsidRDefault="00AA0D29" w:rsidP="00AA0D29">
      <w:pPr>
        <w:pStyle w:val="s4"/>
        <w:spacing w:before="0" w:beforeAutospacing="0" w:after="0" w:afterAutospacing="0" w:line="276" w:lineRule="auto"/>
        <w:jc w:val="both"/>
        <w:rPr>
          <w:rStyle w:val="s3"/>
          <w:rFonts w:ascii="Trebuchet MS" w:hAnsi="Trebuchet MS" w:cstheme="minorHAnsi"/>
          <w:sz w:val="20"/>
          <w:szCs w:val="20"/>
        </w:rPr>
      </w:pPr>
    </w:p>
    <w:p w14:paraId="5AD4D302" w14:textId="77777777" w:rsidR="00AA0D29" w:rsidRPr="006B56AC" w:rsidRDefault="00AA0D29" w:rsidP="00AA0D29">
      <w:pPr>
        <w:pStyle w:val="PlainText"/>
        <w:spacing w:line="276" w:lineRule="auto"/>
        <w:jc w:val="both"/>
        <w:rPr>
          <w:rFonts w:ascii="Trebuchet MS" w:hAnsi="Trebuchet MS" w:cstheme="minorHAnsi"/>
          <w:sz w:val="20"/>
          <w:szCs w:val="20"/>
        </w:rPr>
      </w:pPr>
      <w:r w:rsidRPr="006B56AC">
        <w:rPr>
          <w:rFonts w:ascii="Trebuchet MS" w:hAnsi="Trebuchet MS" w:cstheme="minorHAnsi"/>
          <w:sz w:val="20"/>
          <w:szCs w:val="20"/>
        </w:rPr>
        <w:t>“Green building is the future of industrial property. Green buildings provide lower total occupancy costs for tenants, are proven to deliver higher returns for owners, and are designed to have positive impacts on their users, their surrounding communities and the environment,” he says.</w:t>
      </w:r>
    </w:p>
    <w:p w14:paraId="31AFE23F" w14:textId="77777777" w:rsidR="00AA0D29" w:rsidRPr="006B56AC" w:rsidRDefault="00AA0D29" w:rsidP="00AA0D29">
      <w:pPr>
        <w:pStyle w:val="PlainText"/>
        <w:spacing w:line="276" w:lineRule="auto"/>
        <w:jc w:val="both"/>
        <w:rPr>
          <w:rFonts w:ascii="Trebuchet MS" w:hAnsi="Trebuchet MS" w:cstheme="minorHAnsi"/>
          <w:sz w:val="20"/>
          <w:szCs w:val="20"/>
        </w:rPr>
      </w:pPr>
    </w:p>
    <w:p w14:paraId="438761A7" w14:textId="77777777" w:rsidR="00AA0D29" w:rsidRPr="006B56AC" w:rsidRDefault="00AA0D29" w:rsidP="00AA0D29">
      <w:pPr>
        <w:spacing w:line="276" w:lineRule="auto"/>
        <w:jc w:val="both"/>
        <w:rPr>
          <w:rFonts w:cstheme="minorHAnsi"/>
          <w:sz w:val="20"/>
          <w:szCs w:val="20"/>
          <w:lang w:val="en-US"/>
        </w:rPr>
      </w:pPr>
      <w:r w:rsidRPr="006B56AC">
        <w:rPr>
          <w:rFonts w:cstheme="minorHAnsi"/>
          <w:sz w:val="20"/>
          <w:szCs w:val="20"/>
          <w:lang w:val="en-US"/>
        </w:rPr>
        <w:t xml:space="preserve">Growthpoint is the largest South African primary listed REIT and strives to be a leading international property company providing space to thrive. It creates value for all its stakeholders with innovative and sustainable property solutions. Growthpoint is a Platinum Founding Member of GBCSA and a member of the GBCSA’s Green Building Leader Network, and has been included in the FTSE/JSE Responsible Investment Index for seven years running. It owns and manages a diversified portfolio of 526 property assets including 467 properties in South Africa, 58 properties in Australia through its investment in Growthpoint Properties Australia (GOZ) and a 50% interest in the properties at V&amp;A Waterfront, Cape Town. </w:t>
      </w:r>
    </w:p>
    <w:p w14:paraId="3BBA2A8C" w14:textId="77777777" w:rsidR="00AA0D29" w:rsidRPr="006B56AC" w:rsidRDefault="00AA0D29" w:rsidP="00AA0D29">
      <w:pPr>
        <w:pStyle w:val="PlainText"/>
        <w:spacing w:line="276" w:lineRule="auto"/>
        <w:jc w:val="both"/>
        <w:rPr>
          <w:rFonts w:ascii="Trebuchet MS" w:hAnsi="Trebuchet MS" w:cstheme="minorHAnsi"/>
          <w:b/>
          <w:i/>
          <w:sz w:val="20"/>
          <w:szCs w:val="20"/>
          <w:lang w:val="en-ZA"/>
        </w:rPr>
      </w:pPr>
    </w:p>
    <w:p w14:paraId="6FFEFF65" w14:textId="77777777" w:rsidR="00AA0D29" w:rsidRDefault="00AA0D29" w:rsidP="00AA0D29">
      <w:pPr>
        <w:pStyle w:val="PlainText"/>
        <w:spacing w:line="276" w:lineRule="auto"/>
        <w:jc w:val="right"/>
        <w:rPr>
          <w:rFonts w:ascii="Trebuchet MS" w:hAnsi="Trebuchet MS" w:cstheme="minorHAnsi"/>
          <w:b/>
          <w:sz w:val="20"/>
          <w:szCs w:val="20"/>
          <w:lang w:val="en-ZA"/>
        </w:rPr>
      </w:pPr>
      <w:r w:rsidRPr="006B56AC">
        <w:rPr>
          <w:rFonts w:ascii="Trebuchet MS" w:hAnsi="Trebuchet MS" w:cstheme="minorHAnsi"/>
          <w:b/>
          <w:sz w:val="20"/>
          <w:szCs w:val="20"/>
          <w:lang w:val="en-ZA"/>
        </w:rPr>
        <w:t>/ends</w:t>
      </w:r>
    </w:p>
    <w:p w14:paraId="2498AAEC" w14:textId="77777777" w:rsidR="00AA0D29" w:rsidRPr="005452F5" w:rsidRDefault="00AA0D29" w:rsidP="00AA0D29">
      <w:pPr>
        <w:spacing w:after="160" w:line="276" w:lineRule="auto"/>
        <w:contextualSpacing/>
        <w:rPr>
          <w:caps/>
          <w:sz w:val="20"/>
          <w:szCs w:val="20"/>
          <w:lang w:val="en-ZA"/>
        </w:rPr>
      </w:pPr>
      <w:r w:rsidRPr="005452F5">
        <w:rPr>
          <w:caps/>
          <w:sz w:val="20"/>
          <w:szCs w:val="20"/>
          <w:lang w:val="en-ZA"/>
        </w:rPr>
        <w:lastRenderedPageBreak/>
        <w:t>Released by:</w:t>
      </w:r>
    </w:p>
    <w:p w14:paraId="0FE1E280" w14:textId="77777777" w:rsidR="00AA0D29" w:rsidRPr="005452F5" w:rsidRDefault="00AA0D29" w:rsidP="00AA0D29">
      <w:pPr>
        <w:spacing w:after="160" w:line="276" w:lineRule="auto"/>
        <w:contextualSpacing/>
        <w:rPr>
          <w:color w:val="000000"/>
          <w:sz w:val="20"/>
          <w:szCs w:val="20"/>
          <w:lang w:val="en-ZA"/>
        </w:rPr>
      </w:pPr>
      <w:r w:rsidRPr="005452F5">
        <w:rPr>
          <w:color w:val="000000"/>
          <w:sz w:val="20"/>
          <w:szCs w:val="20"/>
          <w:lang w:val="en-ZA"/>
        </w:rPr>
        <w:t>Growthpoint Properties Limited</w:t>
      </w:r>
    </w:p>
    <w:p w14:paraId="67BAF5E8" w14:textId="77777777" w:rsidR="00AA0D29" w:rsidRPr="005452F5" w:rsidRDefault="00AA0D29" w:rsidP="00AA0D29">
      <w:pPr>
        <w:spacing w:after="160" w:line="276" w:lineRule="auto"/>
        <w:contextualSpacing/>
        <w:rPr>
          <w:color w:val="000000"/>
          <w:sz w:val="20"/>
          <w:szCs w:val="20"/>
          <w:lang w:eastAsia="en-US"/>
        </w:rPr>
      </w:pPr>
      <w:r w:rsidRPr="005452F5">
        <w:rPr>
          <w:color w:val="000000"/>
          <w:sz w:val="20"/>
          <w:szCs w:val="20"/>
        </w:rPr>
        <w:t>Engelbert Binedell</w:t>
      </w:r>
    </w:p>
    <w:p w14:paraId="0A78A1F9" w14:textId="77777777" w:rsidR="00AA0D29" w:rsidRPr="005452F5" w:rsidRDefault="00AA0D29" w:rsidP="00AA0D29">
      <w:pPr>
        <w:spacing w:after="160" w:line="276" w:lineRule="auto"/>
        <w:contextualSpacing/>
        <w:rPr>
          <w:color w:val="000000"/>
          <w:sz w:val="20"/>
          <w:szCs w:val="20"/>
          <w:lang w:val="en-ZA"/>
        </w:rPr>
      </w:pPr>
      <w:r w:rsidRPr="005452F5">
        <w:rPr>
          <w:color w:val="000000"/>
          <w:sz w:val="20"/>
          <w:szCs w:val="20"/>
        </w:rPr>
        <w:t xml:space="preserve">Industrial Division Director </w:t>
      </w:r>
    </w:p>
    <w:p w14:paraId="50EA7505" w14:textId="77777777" w:rsidR="00AA0D29" w:rsidRPr="005452F5" w:rsidRDefault="001D1780" w:rsidP="00AA0D29">
      <w:pPr>
        <w:spacing w:after="160" w:line="276" w:lineRule="auto"/>
        <w:contextualSpacing/>
        <w:rPr>
          <w:color w:val="000000"/>
          <w:sz w:val="20"/>
          <w:szCs w:val="20"/>
          <w:lang w:val="en-ZA"/>
        </w:rPr>
      </w:pPr>
      <w:hyperlink r:id="rId7" w:history="1">
        <w:r w:rsidR="00AA0D29" w:rsidRPr="005452F5">
          <w:rPr>
            <w:rStyle w:val="Hyperlink"/>
            <w:sz w:val="20"/>
            <w:szCs w:val="20"/>
          </w:rPr>
          <w:t>www.growthpoint.co.za</w:t>
        </w:r>
      </w:hyperlink>
      <w:r w:rsidR="00AA0D29" w:rsidRPr="005452F5">
        <w:rPr>
          <w:rStyle w:val="Hyperlink"/>
          <w:sz w:val="20"/>
          <w:szCs w:val="20"/>
        </w:rPr>
        <w:t xml:space="preserve"> </w:t>
      </w:r>
    </w:p>
    <w:p w14:paraId="4D98170F" w14:textId="77777777" w:rsidR="00AA0D29" w:rsidRDefault="00AA0D29" w:rsidP="00AA0D29">
      <w:pPr>
        <w:pStyle w:val="PlainText"/>
        <w:spacing w:line="276" w:lineRule="auto"/>
        <w:rPr>
          <w:rFonts w:ascii="Trebuchet MS" w:hAnsi="Trebuchet MS" w:cstheme="minorHAnsi"/>
          <w:b/>
          <w:sz w:val="20"/>
          <w:szCs w:val="20"/>
          <w:lang w:val="en-ZA"/>
        </w:rPr>
      </w:pPr>
    </w:p>
    <w:p w14:paraId="5EB976E9" w14:textId="77777777" w:rsidR="00AA0D29" w:rsidRDefault="00AA0D29" w:rsidP="00AA0D29">
      <w:pPr>
        <w:pStyle w:val="PlainText"/>
        <w:spacing w:line="276" w:lineRule="auto"/>
        <w:jc w:val="right"/>
        <w:rPr>
          <w:rFonts w:ascii="Trebuchet MS" w:hAnsi="Trebuchet MS" w:cstheme="minorHAnsi"/>
          <w:b/>
          <w:sz w:val="20"/>
          <w:szCs w:val="20"/>
          <w:lang w:val="en-ZA"/>
        </w:rPr>
      </w:pPr>
    </w:p>
    <w:p w14:paraId="0C13A808" w14:textId="77777777" w:rsidR="00AA0D29" w:rsidRPr="006B56AC" w:rsidRDefault="00AA0D29" w:rsidP="00AA0D29">
      <w:pPr>
        <w:pStyle w:val="PlainText"/>
        <w:spacing w:line="276" w:lineRule="auto"/>
        <w:rPr>
          <w:rFonts w:ascii="Trebuchet MS" w:hAnsi="Trebuchet MS" w:cstheme="minorHAnsi"/>
          <w:sz w:val="20"/>
          <w:szCs w:val="20"/>
        </w:rPr>
      </w:pPr>
      <w:r w:rsidRPr="005452F5">
        <w:rPr>
          <w:rFonts w:ascii="Trebuchet MS" w:hAnsi="Trebuchet MS" w:cstheme="minorHAnsi"/>
          <w:noProof/>
          <w:sz w:val="20"/>
          <w:szCs w:val="20"/>
        </w:rPr>
        <w:drawing>
          <wp:inline distT="0" distB="0" distL="0" distR="0" wp14:anchorId="57134824" wp14:editId="19C37708">
            <wp:extent cx="5731510" cy="681772"/>
            <wp:effectExtent l="0" t="0" r="2540" b="4445"/>
            <wp:docPr id="2" name="Picture 2" descr="U:\A Common\MEDIA MASTER FILE\2016\Press Release Footer updat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A Common\MEDIA MASTER FILE\2016\Press Release Footer update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681772"/>
                    </a:xfrm>
                    <a:prstGeom prst="rect">
                      <a:avLst/>
                    </a:prstGeom>
                    <a:noFill/>
                    <a:ln>
                      <a:noFill/>
                    </a:ln>
                  </pic:spPr>
                </pic:pic>
              </a:graphicData>
            </a:graphic>
          </wp:inline>
        </w:drawing>
      </w:r>
    </w:p>
    <w:p w14:paraId="6921F725" w14:textId="77777777" w:rsidR="000F23AC" w:rsidRPr="00814838" w:rsidRDefault="000F23AC" w:rsidP="00814838"/>
    <w:sectPr w:rsidR="000F23AC" w:rsidRPr="00814838" w:rsidSect="00E4477B">
      <w:headerReference w:type="default" r:id="rId9"/>
      <w:footerReference w:type="default" r:id="rId10"/>
      <w:headerReference w:type="first" r:id="rId11"/>
      <w:footerReference w:type="first" r:id="rId12"/>
      <w:pgSz w:w="11906" w:h="16838" w:code="9"/>
      <w:pgMar w:top="567" w:right="1418" w:bottom="567" w:left="1418" w:header="397" w:footer="567"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8C5989" w14:textId="77777777" w:rsidR="001D1780" w:rsidRDefault="001D1780">
      <w:r>
        <w:separator/>
      </w:r>
    </w:p>
  </w:endnote>
  <w:endnote w:type="continuationSeparator" w:id="0">
    <w:p w14:paraId="671F8616" w14:textId="77777777" w:rsidR="001D1780" w:rsidRDefault="001D17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onsolas">
    <w:panose1 w:val="020B0609020204030204"/>
    <w:charset w:val="00"/>
    <w:family w:val="auto"/>
    <w:pitch w:val="variable"/>
    <w:sig w:usb0="E10002FF" w:usb1="4000FCFF" w:usb2="00000009" w:usb3="00000000" w:csb0="0000019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6BFA48" w14:textId="77777777" w:rsidR="006F7465" w:rsidRDefault="006F7465" w:rsidP="00B02C4C">
    <w:pPr>
      <w:pStyle w:val="Footer"/>
    </w:pPr>
  </w:p>
  <w:p w14:paraId="6A6D46CA" w14:textId="77777777" w:rsidR="005E6CE6" w:rsidRDefault="005E6CE6" w:rsidP="00B02C4C">
    <w:pPr>
      <w:pStyle w:val="Footer"/>
    </w:pPr>
    <w:r w:rsidRPr="005E6CE6">
      <w:t xml:space="preserve">Page </w:t>
    </w:r>
    <w:r w:rsidRPr="005E6CE6">
      <w:rPr>
        <w:sz w:val="24"/>
        <w:szCs w:val="24"/>
      </w:rPr>
      <w:fldChar w:fldCharType="begin"/>
    </w:r>
    <w:r w:rsidRPr="005E6CE6">
      <w:instrText xml:space="preserve"> PAGE </w:instrText>
    </w:r>
    <w:r w:rsidRPr="005E6CE6">
      <w:rPr>
        <w:sz w:val="24"/>
        <w:szCs w:val="24"/>
      </w:rPr>
      <w:fldChar w:fldCharType="separate"/>
    </w:r>
    <w:r w:rsidR="00834546">
      <w:rPr>
        <w:noProof/>
      </w:rPr>
      <w:t>2</w:t>
    </w:r>
    <w:r w:rsidRPr="005E6CE6">
      <w:rPr>
        <w:sz w:val="24"/>
        <w:szCs w:val="24"/>
      </w:rPr>
      <w:fldChar w:fldCharType="end"/>
    </w:r>
    <w:r w:rsidRPr="005E6CE6">
      <w:t xml:space="preserve"> of </w:t>
    </w:r>
    <w:r w:rsidRPr="005E6CE6">
      <w:rPr>
        <w:sz w:val="24"/>
        <w:szCs w:val="24"/>
      </w:rPr>
      <w:fldChar w:fldCharType="begin"/>
    </w:r>
    <w:r w:rsidRPr="005E6CE6">
      <w:instrText xml:space="preserve"> NUMPAGES  </w:instrText>
    </w:r>
    <w:r w:rsidRPr="005E6CE6">
      <w:rPr>
        <w:sz w:val="24"/>
        <w:szCs w:val="24"/>
      </w:rPr>
      <w:fldChar w:fldCharType="separate"/>
    </w:r>
    <w:r w:rsidR="00834546">
      <w:rPr>
        <w:noProof/>
      </w:rPr>
      <w:t>3</w:t>
    </w:r>
    <w:r w:rsidRPr="005E6CE6">
      <w:rPr>
        <w:sz w:val="24"/>
        <w:szCs w:val="24"/>
      </w:rPr>
      <w:fldChar w:fldCharType="end"/>
    </w:r>
  </w:p>
  <w:p w14:paraId="7D419AC8" w14:textId="77777777" w:rsidR="005E6CE6" w:rsidRDefault="005E6CE6">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869F04" w14:textId="77777777" w:rsidR="00D0768F" w:rsidRDefault="00574AC1">
    <w:pPr>
      <w:pStyle w:val="Footer"/>
    </w:pPr>
    <w:r>
      <w:rPr>
        <w:noProof/>
        <w:lang w:val="en-US" w:eastAsia="en-US"/>
      </w:rPr>
      <w:drawing>
        <wp:inline distT="0" distB="0" distL="0" distR="0" wp14:anchorId="7FDF02FE" wp14:editId="2982B785">
          <wp:extent cx="7572375" cy="5715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2375" cy="571500"/>
                  </a:xfrm>
                  <a:prstGeom prst="rect">
                    <a:avLst/>
                  </a:prstGeom>
                  <a:noFill/>
                  <a:ln>
                    <a:noFill/>
                  </a:ln>
                </pic:spPr>
              </pic:pic>
            </a:graphicData>
          </a:graphic>
        </wp:inline>
      </w:drawing>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1F065C" w14:textId="77777777" w:rsidR="001D1780" w:rsidRDefault="001D1780">
      <w:r>
        <w:separator/>
      </w:r>
    </w:p>
  </w:footnote>
  <w:footnote w:type="continuationSeparator" w:id="0">
    <w:p w14:paraId="45B41E05" w14:textId="77777777" w:rsidR="001D1780" w:rsidRDefault="001D178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94D7A2" w14:textId="77777777" w:rsidR="00B02C4C" w:rsidRDefault="00B02C4C"/>
  <w:p w14:paraId="6D21528B" w14:textId="77777777" w:rsidR="00B02C4C" w:rsidRDefault="00B02C4C"/>
  <w:p w14:paraId="32687F88" w14:textId="77777777" w:rsidR="00B02C4C" w:rsidRDefault="00B02C4C"/>
  <w:p w14:paraId="6DF14092" w14:textId="77777777" w:rsidR="00B02C4C" w:rsidRDefault="00574AC1">
    <w:pPr>
      <w:pStyle w:val="Header"/>
    </w:pPr>
    <w:r>
      <w:rPr>
        <w:noProof/>
        <w:lang w:val="en-US" w:eastAsia="en-US"/>
      </w:rPr>
      <w:drawing>
        <wp:inline distT="0" distB="0" distL="0" distR="0" wp14:anchorId="477DDBFE" wp14:editId="426D8B78">
          <wp:extent cx="7572375" cy="8858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2375" cy="885825"/>
                  </a:xfrm>
                  <a:prstGeom prst="rect">
                    <a:avLst/>
                  </a:prstGeom>
                  <a:noFill/>
                  <a:ln>
                    <a:noFill/>
                  </a:ln>
                </pic:spPr>
              </pic:pic>
            </a:graphicData>
          </a:graphic>
        </wp:inline>
      </w:drawing>
    </w:r>
  </w:p>
  <w:p w14:paraId="5B471BC5" w14:textId="77777777" w:rsidR="00163877" w:rsidRDefault="00163877">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DF61EB" w14:textId="77777777" w:rsidR="009F6A58" w:rsidRDefault="00574AC1">
    <w:pPr>
      <w:pStyle w:val="Header"/>
    </w:pPr>
    <w:r>
      <w:rPr>
        <w:noProof/>
        <w:lang w:val="en-US" w:eastAsia="en-US"/>
      </w:rPr>
      <w:drawing>
        <wp:inline distT="0" distB="0" distL="0" distR="0" wp14:anchorId="7F8C5F85" wp14:editId="473964DB">
          <wp:extent cx="7572375" cy="13620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2375" cy="1362075"/>
                  </a:xfrm>
                  <a:prstGeom prst="rect">
                    <a:avLst/>
                  </a:prstGeom>
                  <a:noFill/>
                  <a:ln>
                    <a:noFill/>
                  </a:ln>
                </pic:spPr>
              </pic:pic>
            </a:graphicData>
          </a:graphic>
        </wp:inline>
      </w:drawing>
    </w:r>
  </w:p>
  <w:p w14:paraId="65BC1A48" w14:textId="77777777" w:rsidR="00E4477B" w:rsidRDefault="00E4477B">
    <w:pPr>
      <w:pStyle w:val="Header"/>
    </w:pPr>
  </w:p>
  <w:p w14:paraId="7C4938E9" w14:textId="77777777" w:rsidR="00E4477B" w:rsidRDefault="00E4477B">
    <w:pPr>
      <w:pStyle w:val="Header"/>
    </w:pPr>
  </w:p>
  <w:p w14:paraId="20192D0C" w14:textId="77777777" w:rsidR="00E4477B" w:rsidRDefault="00E4477B">
    <w:pPr>
      <w:pStyle w:val="Header"/>
    </w:pPr>
  </w:p>
  <w:p w14:paraId="00E1D624" w14:textId="77777777" w:rsidR="00E4477B" w:rsidRDefault="00E4477B">
    <w:pPr>
      <w:pStyle w:val="Header"/>
    </w:pPr>
  </w:p>
  <w:p w14:paraId="72E0E011" w14:textId="77777777" w:rsidR="00E4477B" w:rsidRDefault="00E4477B">
    <w:pPr>
      <w:pStyle w:val="Header"/>
    </w:pPr>
  </w:p>
  <w:p w14:paraId="3800E6D6" w14:textId="77777777" w:rsidR="00E4477B" w:rsidRDefault="00E4477B">
    <w:pPr>
      <w:pStyle w:val="Header"/>
    </w:pPr>
  </w:p>
  <w:p w14:paraId="15A46C19" w14:textId="77777777" w:rsidR="00E4477B" w:rsidRDefault="00E4477B">
    <w:pPr>
      <w:pStyle w:val="Header"/>
    </w:pPr>
  </w:p>
  <w:p w14:paraId="5FD3B214" w14:textId="77777777" w:rsidR="00E4477B" w:rsidRDefault="00E4477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277364"/>
    <w:multiLevelType w:val="multilevel"/>
    <w:tmpl w:val="4C14F45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3DFD6006"/>
    <w:multiLevelType w:val="multilevel"/>
    <w:tmpl w:val="C89EDC08"/>
    <w:lvl w:ilvl="0">
      <w:start w:val="1"/>
      <w:numFmt w:val="bullet"/>
      <w:lvlText w:val=""/>
      <w:lvlJc w:val="left"/>
      <w:pPr>
        <w:tabs>
          <w:tab w:val="num" w:pos="360"/>
        </w:tabs>
        <w:ind w:left="360" w:hanging="360"/>
      </w:pPr>
      <w:rPr>
        <w:rFonts w:ascii="Symbol" w:hAnsi="Symbol" w:hint="default"/>
        <w:color w:val="auto"/>
      </w:rPr>
    </w:lvl>
    <w:lvl w:ilvl="1">
      <w:start w:val="1"/>
      <w:numFmt w:val="bullet"/>
      <w:lvlText w:val=""/>
      <w:lvlJc w:val="left"/>
      <w:pPr>
        <w:tabs>
          <w:tab w:val="num" w:pos="720"/>
        </w:tabs>
        <w:ind w:left="720" w:hanging="360"/>
      </w:pPr>
      <w:rPr>
        <w:rFonts w:ascii="Symbol" w:hAnsi="Symbol" w:hint="default"/>
        <w:color w:val="auto"/>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
    <w:nsid w:val="506334BF"/>
    <w:multiLevelType w:val="multilevel"/>
    <w:tmpl w:val="337ED9B4"/>
    <w:lvl w:ilvl="0">
      <w:start w:val="1"/>
      <w:numFmt w:val="bullet"/>
      <w:lvlText w:val=""/>
      <w:lvlJc w:val="left"/>
      <w:pPr>
        <w:tabs>
          <w:tab w:val="num" w:pos="360"/>
        </w:tabs>
        <w:ind w:left="360" w:hanging="360"/>
      </w:pPr>
      <w:rPr>
        <w:rFonts w:ascii="Symbol" w:hAnsi="Symbol" w:hint="default"/>
        <w:color w:val="auto"/>
      </w:rPr>
    </w:lvl>
    <w:lvl w:ilvl="1">
      <w:start w:val="1"/>
      <w:numFmt w:val="bullet"/>
      <w:lvlText w:val=""/>
      <w:lvlJc w:val="left"/>
      <w:pPr>
        <w:tabs>
          <w:tab w:val="num" w:pos="720"/>
        </w:tabs>
        <w:ind w:left="720" w:hanging="360"/>
      </w:pPr>
      <w:rPr>
        <w:rFonts w:ascii="Symbol" w:hAnsi="Symbol" w:hint="default"/>
        <w:color w:val="auto"/>
      </w:rPr>
    </w:lvl>
    <w:lvl w:ilvl="2">
      <w:start w:val="1"/>
      <w:numFmt w:val="bullet"/>
      <w:lvlText w:val=""/>
      <w:lvlJc w:val="left"/>
      <w:pPr>
        <w:tabs>
          <w:tab w:val="num" w:pos="1080"/>
        </w:tabs>
        <w:ind w:left="1080" w:hanging="360"/>
      </w:pPr>
      <w:rPr>
        <w:rFonts w:ascii="Symbol" w:hAnsi="Symbol" w:hint="default"/>
        <w:color w:val="auto"/>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
    <w:nsid w:val="6BB12121"/>
    <w:multiLevelType w:val="multilevel"/>
    <w:tmpl w:val="C89EDC08"/>
    <w:lvl w:ilvl="0">
      <w:start w:val="1"/>
      <w:numFmt w:val="bullet"/>
      <w:lvlText w:val=""/>
      <w:lvlJc w:val="left"/>
      <w:pPr>
        <w:tabs>
          <w:tab w:val="num" w:pos="360"/>
        </w:tabs>
        <w:ind w:left="360" w:hanging="360"/>
      </w:pPr>
      <w:rPr>
        <w:rFonts w:ascii="Symbol" w:hAnsi="Symbol" w:hint="default"/>
        <w:color w:val="auto"/>
      </w:rPr>
    </w:lvl>
    <w:lvl w:ilvl="1">
      <w:start w:val="1"/>
      <w:numFmt w:val="bullet"/>
      <w:lvlText w:val=""/>
      <w:lvlJc w:val="left"/>
      <w:pPr>
        <w:tabs>
          <w:tab w:val="num" w:pos="720"/>
        </w:tabs>
        <w:ind w:left="720" w:hanging="360"/>
      </w:pPr>
      <w:rPr>
        <w:rFonts w:ascii="Symbol" w:hAnsi="Symbol" w:hint="default"/>
        <w:color w:val="auto"/>
      </w:rPr>
    </w:lvl>
    <w:lvl w:ilvl="2">
      <w:start w:val="1"/>
      <w:numFmt w:val="bullet"/>
      <w:lvlText w:val=""/>
      <w:lvlJc w:val="left"/>
      <w:pPr>
        <w:tabs>
          <w:tab w:val="num" w:pos="1080"/>
        </w:tabs>
        <w:ind w:left="1080" w:hanging="360"/>
      </w:pPr>
      <w:rPr>
        <w:rFonts w:ascii="Wingdings" w:hAnsi="Wingdings"/>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lreadySaved" w:val="0"/>
  </w:docVars>
  <w:rsids>
    <w:rsidRoot w:val="00574AC1"/>
    <w:rsid w:val="00001B40"/>
    <w:rsid w:val="00061A9B"/>
    <w:rsid w:val="00073D12"/>
    <w:rsid w:val="00087337"/>
    <w:rsid w:val="000A42EA"/>
    <w:rsid w:val="000A6AA8"/>
    <w:rsid w:val="000E6642"/>
    <w:rsid w:val="000F13E1"/>
    <w:rsid w:val="000F23AC"/>
    <w:rsid w:val="001246DF"/>
    <w:rsid w:val="00163877"/>
    <w:rsid w:val="001761F1"/>
    <w:rsid w:val="001807F2"/>
    <w:rsid w:val="001A2BEA"/>
    <w:rsid w:val="001A3E4A"/>
    <w:rsid w:val="001B1D0B"/>
    <w:rsid w:val="001D1780"/>
    <w:rsid w:val="001D2740"/>
    <w:rsid w:val="001D4E74"/>
    <w:rsid w:val="00246D93"/>
    <w:rsid w:val="002A1C24"/>
    <w:rsid w:val="002B4F5C"/>
    <w:rsid w:val="002B52D2"/>
    <w:rsid w:val="003113C2"/>
    <w:rsid w:val="003771C2"/>
    <w:rsid w:val="003B055F"/>
    <w:rsid w:val="003C01E2"/>
    <w:rsid w:val="003F5482"/>
    <w:rsid w:val="003F5D84"/>
    <w:rsid w:val="00443832"/>
    <w:rsid w:val="00453472"/>
    <w:rsid w:val="0045754F"/>
    <w:rsid w:val="004A3DA5"/>
    <w:rsid w:val="004B488C"/>
    <w:rsid w:val="004D0F65"/>
    <w:rsid w:val="0051656C"/>
    <w:rsid w:val="0052087D"/>
    <w:rsid w:val="0052087F"/>
    <w:rsid w:val="0053717D"/>
    <w:rsid w:val="00553AE0"/>
    <w:rsid w:val="00574AC1"/>
    <w:rsid w:val="005A0F9F"/>
    <w:rsid w:val="005E63AC"/>
    <w:rsid w:val="005E6CE6"/>
    <w:rsid w:val="005E714E"/>
    <w:rsid w:val="005F4006"/>
    <w:rsid w:val="006257B9"/>
    <w:rsid w:val="00654B62"/>
    <w:rsid w:val="00657BCE"/>
    <w:rsid w:val="0067014B"/>
    <w:rsid w:val="00680BA8"/>
    <w:rsid w:val="00681CB6"/>
    <w:rsid w:val="006D69F4"/>
    <w:rsid w:val="006D7FF4"/>
    <w:rsid w:val="006E67D1"/>
    <w:rsid w:val="006F7465"/>
    <w:rsid w:val="00711DD2"/>
    <w:rsid w:val="0073276C"/>
    <w:rsid w:val="00780AD3"/>
    <w:rsid w:val="007D219F"/>
    <w:rsid w:val="00807887"/>
    <w:rsid w:val="00811339"/>
    <w:rsid w:val="00814838"/>
    <w:rsid w:val="00834546"/>
    <w:rsid w:val="008540F9"/>
    <w:rsid w:val="00883005"/>
    <w:rsid w:val="008A0A34"/>
    <w:rsid w:val="008A78FF"/>
    <w:rsid w:val="008D4A89"/>
    <w:rsid w:val="00920E96"/>
    <w:rsid w:val="00941156"/>
    <w:rsid w:val="00961812"/>
    <w:rsid w:val="009F6A58"/>
    <w:rsid w:val="00A06AD2"/>
    <w:rsid w:val="00A17486"/>
    <w:rsid w:val="00A26319"/>
    <w:rsid w:val="00A434AF"/>
    <w:rsid w:val="00A8357A"/>
    <w:rsid w:val="00A8464C"/>
    <w:rsid w:val="00AA0D29"/>
    <w:rsid w:val="00AC65FE"/>
    <w:rsid w:val="00AE0DA0"/>
    <w:rsid w:val="00B02C4C"/>
    <w:rsid w:val="00B10500"/>
    <w:rsid w:val="00B11178"/>
    <w:rsid w:val="00B128B9"/>
    <w:rsid w:val="00B931EF"/>
    <w:rsid w:val="00BA676A"/>
    <w:rsid w:val="00BC53F1"/>
    <w:rsid w:val="00C05375"/>
    <w:rsid w:val="00C33576"/>
    <w:rsid w:val="00C53891"/>
    <w:rsid w:val="00C650CE"/>
    <w:rsid w:val="00C8688E"/>
    <w:rsid w:val="00CA2CBD"/>
    <w:rsid w:val="00CB45F3"/>
    <w:rsid w:val="00D01D27"/>
    <w:rsid w:val="00D0768F"/>
    <w:rsid w:val="00D31158"/>
    <w:rsid w:val="00D35397"/>
    <w:rsid w:val="00D40D8A"/>
    <w:rsid w:val="00DF25EA"/>
    <w:rsid w:val="00E4477B"/>
    <w:rsid w:val="00EE73FA"/>
    <w:rsid w:val="00F50516"/>
    <w:rsid w:val="00FC0F20"/>
    <w:rsid w:val="00FC37D7"/>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476B210"/>
  <w15:docId w15:val="{ED778B79-C9D6-40AE-B802-33D2048C7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38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45754F"/>
    <w:rPr>
      <w:rFonts w:ascii="Trebuchet MS" w:hAnsi="Trebuchet MS"/>
      <w:sz w:val="18"/>
      <w:szCs w:val="22"/>
      <w:lang w:val="en-GB" w:eastAsia="en-GB"/>
    </w:rPr>
  </w:style>
  <w:style w:type="paragraph" w:styleId="Heading1">
    <w:name w:val="heading 1"/>
    <w:basedOn w:val="Normal"/>
    <w:next w:val="Normal"/>
    <w:qFormat/>
    <w:rsid w:val="00941156"/>
    <w:pPr>
      <w:keepNext/>
      <w:spacing w:before="120" w:after="120"/>
      <w:outlineLvl w:val="0"/>
    </w:pPr>
    <w:rPr>
      <w:rFonts w:cs="Arial"/>
      <w:b/>
      <w:bCs/>
      <w:kern w:val="32"/>
      <w:sz w:val="28"/>
      <w:szCs w:val="32"/>
    </w:rPr>
  </w:style>
  <w:style w:type="paragraph" w:styleId="Heading2">
    <w:name w:val="heading 2"/>
    <w:basedOn w:val="Normal"/>
    <w:next w:val="Normal"/>
    <w:qFormat/>
    <w:rsid w:val="00941156"/>
    <w:pPr>
      <w:keepNext/>
      <w:spacing w:before="120" w:after="60"/>
      <w:outlineLvl w:val="1"/>
    </w:pPr>
    <w:rPr>
      <w:rFonts w:cs="Arial"/>
      <w:b/>
      <w:bCs/>
      <w:iCs/>
      <w:sz w:val="24"/>
      <w:szCs w:val="28"/>
    </w:rPr>
  </w:style>
  <w:style w:type="paragraph" w:styleId="Heading3">
    <w:name w:val="heading 3"/>
    <w:basedOn w:val="Normal"/>
    <w:next w:val="Normal"/>
    <w:qFormat/>
    <w:rsid w:val="00941156"/>
    <w:pPr>
      <w:keepNext/>
      <w:spacing w:before="60" w:after="60"/>
      <w:outlineLvl w:val="2"/>
    </w:pPr>
    <w:rPr>
      <w:rFonts w:cs="Arial"/>
      <w:b/>
      <w:bCs/>
      <w:sz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oEnding">
    <w:name w:val="AutoEnding"/>
    <w:basedOn w:val="Normal"/>
    <w:next w:val="Normal"/>
    <w:rsid w:val="00C53891"/>
    <w:rPr>
      <w:szCs w:val="24"/>
      <w:lang w:eastAsia="en-US"/>
    </w:rPr>
  </w:style>
  <w:style w:type="paragraph" w:styleId="Header">
    <w:name w:val="header"/>
    <w:rsid w:val="00B02C4C"/>
    <w:pPr>
      <w:tabs>
        <w:tab w:val="center" w:pos="4153"/>
        <w:tab w:val="right" w:pos="8306"/>
      </w:tabs>
    </w:pPr>
    <w:rPr>
      <w:rFonts w:ascii="Trebuchet MS" w:hAnsi="Trebuchet MS"/>
      <w:sz w:val="14"/>
      <w:szCs w:val="22"/>
      <w:lang w:val="en-GB" w:eastAsia="en-GB"/>
    </w:rPr>
  </w:style>
  <w:style w:type="paragraph" w:styleId="Footer">
    <w:name w:val="footer"/>
    <w:link w:val="FooterChar"/>
    <w:uiPriority w:val="99"/>
    <w:rsid w:val="005E6CE6"/>
    <w:pPr>
      <w:tabs>
        <w:tab w:val="center" w:pos="4153"/>
        <w:tab w:val="right" w:pos="8306"/>
      </w:tabs>
    </w:pPr>
    <w:rPr>
      <w:rFonts w:ascii="Trebuchet MS" w:hAnsi="Trebuchet MS"/>
      <w:sz w:val="14"/>
      <w:szCs w:val="22"/>
      <w:lang w:val="en-GB" w:eastAsia="en-GB"/>
    </w:rPr>
  </w:style>
  <w:style w:type="paragraph" w:customStyle="1" w:styleId="GPBodyText">
    <w:name w:val="GPBodyText"/>
    <w:basedOn w:val="Normal"/>
    <w:qFormat/>
    <w:rsid w:val="009F6A58"/>
    <w:pPr>
      <w:ind w:left="680" w:right="1639"/>
    </w:pPr>
    <w:rPr>
      <w:lang w:val="en-ZA"/>
    </w:rPr>
  </w:style>
  <w:style w:type="character" w:customStyle="1" w:styleId="FooterChar">
    <w:name w:val="Footer Char"/>
    <w:link w:val="Footer"/>
    <w:uiPriority w:val="99"/>
    <w:rsid w:val="005E6CE6"/>
    <w:rPr>
      <w:rFonts w:ascii="Trebuchet MS" w:hAnsi="Trebuchet MS"/>
      <w:sz w:val="14"/>
      <w:szCs w:val="22"/>
      <w:lang w:val="en-GB" w:eastAsia="en-GB" w:bidi="ar-SA"/>
    </w:rPr>
  </w:style>
  <w:style w:type="character" w:styleId="Hyperlink">
    <w:name w:val="Hyperlink"/>
    <w:basedOn w:val="DefaultParagraphFont"/>
    <w:uiPriority w:val="99"/>
    <w:unhideWhenUsed/>
    <w:rsid w:val="002B4F5C"/>
    <w:rPr>
      <w:color w:val="0000FF" w:themeColor="hyperlink"/>
      <w:u w:val="single"/>
    </w:rPr>
  </w:style>
  <w:style w:type="paragraph" w:styleId="PlainText">
    <w:name w:val="Plain Text"/>
    <w:basedOn w:val="Normal"/>
    <w:link w:val="PlainTextChar"/>
    <w:uiPriority w:val="99"/>
    <w:unhideWhenUsed/>
    <w:rsid w:val="00814838"/>
    <w:rPr>
      <w:rFonts w:ascii="Consolas" w:eastAsia="Calibri" w:hAnsi="Consolas"/>
      <w:sz w:val="21"/>
      <w:szCs w:val="21"/>
      <w:lang w:val="en-US" w:eastAsia="en-US"/>
    </w:rPr>
  </w:style>
  <w:style w:type="character" w:customStyle="1" w:styleId="PlainTextChar">
    <w:name w:val="Plain Text Char"/>
    <w:basedOn w:val="DefaultParagraphFont"/>
    <w:link w:val="PlainText"/>
    <w:uiPriority w:val="99"/>
    <w:rsid w:val="00814838"/>
    <w:rPr>
      <w:rFonts w:ascii="Consolas" w:eastAsia="Calibri" w:hAnsi="Consolas"/>
      <w:sz w:val="21"/>
      <w:szCs w:val="21"/>
      <w:lang w:val="en-US" w:eastAsia="en-US"/>
    </w:rPr>
  </w:style>
  <w:style w:type="paragraph" w:customStyle="1" w:styleId="s4">
    <w:name w:val="s4"/>
    <w:basedOn w:val="Normal"/>
    <w:rsid w:val="00AA0D29"/>
    <w:pPr>
      <w:spacing w:before="100" w:beforeAutospacing="1" w:after="100" w:afterAutospacing="1"/>
    </w:pPr>
    <w:rPr>
      <w:rFonts w:ascii="Times New Roman" w:eastAsiaTheme="minorHAnsi" w:hAnsi="Times New Roman"/>
      <w:sz w:val="24"/>
      <w:szCs w:val="24"/>
    </w:rPr>
  </w:style>
  <w:style w:type="character" w:customStyle="1" w:styleId="s3">
    <w:name w:val="s3"/>
    <w:basedOn w:val="DefaultParagraphFont"/>
    <w:rsid w:val="00AA0D29"/>
  </w:style>
  <w:style w:type="character" w:customStyle="1" w:styleId="s7">
    <w:name w:val="s7"/>
    <w:basedOn w:val="DefaultParagraphFont"/>
    <w:rsid w:val="00AA0D29"/>
  </w:style>
  <w:style w:type="paragraph" w:styleId="NormalWeb">
    <w:name w:val="Normal (Web)"/>
    <w:basedOn w:val="Normal"/>
    <w:uiPriority w:val="99"/>
    <w:unhideWhenUsed/>
    <w:rsid w:val="00AA0D29"/>
    <w:pPr>
      <w:spacing w:before="100" w:beforeAutospacing="1" w:after="100" w:afterAutospacing="1"/>
    </w:pPr>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8514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growthpoint.co.za" TargetMode="External"/><Relationship Id="rId8" Type="http://schemas.openxmlformats.org/officeDocument/2006/relationships/image" Target="media/image1.jpeg"/><Relationship Id="rId9" Type="http://schemas.openxmlformats.org/officeDocument/2006/relationships/header" Target="header1.xml"/><Relationship Id="rId10"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4.emf"/></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J:\Macros\APPS\MSOffice\CompuBrand\Toolbars\Growthpoint\Stationery\Electronic%20Letterheads\Properties\Johannesburg.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J:\Macros\APPS\MSOffice\CompuBrand\Toolbars\Growthpoint\Stationery\Electronic Letterheads\Properties\Johannesburg.dot</Template>
  <TotalTime>0</TotalTime>
  <Pages>3</Pages>
  <Words>972</Words>
  <Characters>5545</Characters>
  <Application>Microsoft Macintosh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Nadine Simelane</dc:creator>
  <cp:lastModifiedBy>Priscilla Moroke</cp:lastModifiedBy>
  <cp:revision>2</cp:revision>
  <dcterms:created xsi:type="dcterms:W3CDTF">2016-10-17T09:43:00Z</dcterms:created>
  <dcterms:modified xsi:type="dcterms:W3CDTF">2016-10-17T09:43:00Z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ource">
    <vt:lpwstr>CBLHS</vt:lpwstr>
  </property>
</Properties>
</file>