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70BA7B" w14:textId="390FC053" w:rsidR="000D6242" w:rsidRDefault="005B49AA">
      <w:bookmarkStart w:id="0" w:name="_GoBack"/>
      <w:bookmarkEnd w:id="0"/>
      <w:r>
        <w:t>2016 Ac</w:t>
      </w:r>
      <w:r w:rsidR="002B2433">
        <w:t>centure Innovation Index winner</w:t>
      </w:r>
    </w:p>
    <w:p w14:paraId="05AECDF0" w14:textId="77777777" w:rsidR="005B49AA" w:rsidRDefault="005B49AA"/>
    <w:p w14:paraId="1E1F2E15" w14:textId="77777777" w:rsidR="005B49AA" w:rsidRDefault="005B49AA">
      <w:r>
        <w:t xml:space="preserve">Overall Innovation Master (turnover in excess of R35-million): </w:t>
      </w:r>
      <w:r w:rsidRPr="006D1578">
        <w:rPr>
          <w:b/>
        </w:rPr>
        <w:t>SSG Consulting</w:t>
      </w:r>
      <w:r>
        <w:t xml:space="preserve"> – For their revolutionary cloud based Business and Project Management solution with exceptional capabilities to handle workflow, data, documents, dashboards, KPI’s, business and staff optimisation together with upskilling. SSG Consulting’s KEY360 solution is able to cater for over 100 processes on either mobile or multi-company access.</w:t>
      </w:r>
    </w:p>
    <w:p w14:paraId="2D379074" w14:textId="77777777" w:rsidR="005B49AA" w:rsidRDefault="005B49AA"/>
    <w:p w14:paraId="47AD8E27" w14:textId="3D3736FA" w:rsidR="005B49AA" w:rsidRDefault="005B49AA">
      <w:r>
        <w:t xml:space="preserve">Accenture and The Da Vinci </w:t>
      </w:r>
      <w:r w:rsidR="00196629">
        <w:t>Institute</w:t>
      </w:r>
      <w:r>
        <w:t xml:space="preserve"> have announced the winners of this year’s Innovation Index on Wednesday, 12 October 2016. The Conference was held in Johannesburg.</w:t>
      </w:r>
      <w:r w:rsidR="00B54F14">
        <w:t xml:space="preserve"> The Accenture Innovation Index measures, recognises and rewards innovation and systems of innovation. It gives every online survey entrant a personalised innovation diagnostic report that identifies innovation gaps and streng</w:t>
      </w:r>
      <w:r w:rsidR="000A75DC">
        <w:t>ths. The Accenture Innovation Index is open to all South African organisations – small, medium, large; listed or non-listed; NGO; public or private – with a commercialised product, process or service.</w:t>
      </w:r>
    </w:p>
    <w:p w14:paraId="68334A1A" w14:textId="77777777" w:rsidR="005B49AA" w:rsidRDefault="005B49AA"/>
    <w:p w14:paraId="12AEC2C8" w14:textId="77777777" w:rsidR="005B49AA" w:rsidRDefault="005B49AA">
      <w:r>
        <w:t xml:space="preserve">Steven Golding, CEO of SSG Consulting accepted </w:t>
      </w:r>
      <w:r w:rsidR="00196629">
        <w:t xml:space="preserve">the Overall </w:t>
      </w:r>
      <w:r w:rsidR="00DA2160">
        <w:t>Innovation Master</w:t>
      </w:r>
      <w:r>
        <w:t xml:space="preserve"> award in the category; turnover in excess of R35-million.</w:t>
      </w:r>
    </w:p>
    <w:p w14:paraId="55732562" w14:textId="77777777" w:rsidR="00196629" w:rsidRDefault="00196629"/>
    <w:p w14:paraId="3D6DF951" w14:textId="77777777" w:rsidR="00196629" w:rsidRDefault="00196629" w:rsidP="00196629">
      <w:r>
        <w:t xml:space="preserve">The nominees in this category was; </w:t>
      </w:r>
    </w:p>
    <w:p w14:paraId="3F0274AA" w14:textId="77777777" w:rsidR="00196629" w:rsidRPr="00196629" w:rsidRDefault="00196629" w:rsidP="00196629">
      <w:pPr>
        <w:rPr>
          <w:rFonts w:eastAsia="Times New Roman" w:cs="Times New Roman"/>
          <w:lang w:val="en-US"/>
        </w:rPr>
      </w:pPr>
      <w:r w:rsidRPr="00196629">
        <w:rPr>
          <w:rFonts w:eastAsia="Times New Roman" w:cs="Times New Roman"/>
          <w:b/>
          <w:bCs/>
          <w:lang w:val="en-US"/>
        </w:rPr>
        <w:t>ABSA</w:t>
      </w:r>
      <w:r w:rsidRPr="00196629">
        <w:t xml:space="preserve"> </w:t>
      </w:r>
      <w:r w:rsidRPr="00196629">
        <w:rPr>
          <w:rFonts w:eastAsia="Times New Roman" w:cs="Times New Roman"/>
          <w:lang w:val="en-US"/>
        </w:rPr>
        <w:t>– whose integration of its App with the Apple Watch, enables customers to stay on top of their finances via their Apple Watch.</w:t>
      </w:r>
    </w:p>
    <w:p w14:paraId="5C42683C" w14:textId="77777777" w:rsidR="00196629" w:rsidRPr="00196629" w:rsidRDefault="00196629" w:rsidP="00196629">
      <w:pPr>
        <w:rPr>
          <w:rFonts w:eastAsia="Times New Roman" w:cs="Times New Roman"/>
          <w:lang w:val="en-US"/>
        </w:rPr>
      </w:pPr>
      <w:r w:rsidRPr="00196629">
        <w:rPr>
          <w:rFonts w:eastAsia="Times New Roman" w:cs="Times New Roman"/>
          <w:b/>
          <w:bCs/>
          <w:lang w:val="en-US"/>
        </w:rPr>
        <w:t xml:space="preserve">FNB </w:t>
      </w:r>
      <w:r w:rsidRPr="00196629">
        <w:rPr>
          <w:rFonts w:eastAsia="Times New Roman" w:cs="Times New Roman"/>
          <w:lang w:val="en-US"/>
        </w:rPr>
        <w:t xml:space="preserve">– whose internal IT coding marathon brings programmers together over a six-day sprint in order to build disruptive, financial technology apps that solve business problems while achieving competitive advantage through new or improved products and services. </w:t>
      </w:r>
    </w:p>
    <w:p w14:paraId="7AA5B4C3" w14:textId="77777777" w:rsidR="00196629" w:rsidRPr="00196629" w:rsidRDefault="00196629" w:rsidP="00196629">
      <w:pPr>
        <w:rPr>
          <w:rFonts w:eastAsia="Times New Roman" w:cs="Times New Roman"/>
          <w:lang w:val="en-US"/>
        </w:rPr>
      </w:pPr>
      <w:r w:rsidRPr="00196629">
        <w:rPr>
          <w:rFonts w:eastAsia="Times New Roman" w:cs="Times New Roman"/>
          <w:b/>
          <w:bCs/>
          <w:lang w:val="en-US"/>
        </w:rPr>
        <w:t xml:space="preserve">King Price Insurance </w:t>
      </w:r>
      <w:r w:rsidRPr="00196629">
        <w:rPr>
          <w:rFonts w:eastAsia="Times New Roman" w:cs="Times New Roman"/>
          <w:lang w:val="en-US"/>
        </w:rPr>
        <w:t xml:space="preserve">– whose car insurance premiums decrease monthly in line with the depreciation of a car’s value. </w:t>
      </w:r>
    </w:p>
    <w:p w14:paraId="42149D6B" w14:textId="77777777" w:rsidR="00196629" w:rsidRPr="00196629" w:rsidRDefault="00196629" w:rsidP="00196629">
      <w:pPr>
        <w:rPr>
          <w:rFonts w:eastAsia="Times New Roman" w:cs="Times New Roman"/>
          <w:lang w:val="en-US"/>
        </w:rPr>
      </w:pPr>
      <w:r w:rsidRPr="00196629">
        <w:rPr>
          <w:rFonts w:eastAsia="Times New Roman" w:cs="Times New Roman"/>
          <w:b/>
          <w:bCs/>
          <w:lang w:val="en-US"/>
        </w:rPr>
        <w:t>Purple Group</w:t>
      </w:r>
      <w:r w:rsidRPr="00196629">
        <w:rPr>
          <w:rFonts w:eastAsia="Times New Roman" w:cs="Times New Roman"/>
          <w:lang w:val="en-US"/>
        </w:rPr>
        <w:t>’s</w:t>
      </w:r>
      <w:r>
        <w:rPr>
          <w:rFonts w:eastAsia="Times New Roman" w:cs="Times New Roman"/>
          <w:lang w:val="en-US"/>
        </w:rPr>
        <w:t xml:space="preserve"> -</w:t>
      </w:r>
      <w:r w:rsidRPr="00196629">
        <w:rPr>
          <w:rFonts w:eastAsia="Times New Roman" w:cs="Times New Roman"/>
          <w:lang w:val="en-US"/>
        </w:rPr>
        <w:t xml:space="preserve"> The Bundles, a platform allows individuals to invest in a basket of shares. It provides access to a predetermined stock selection created by respected fund managers and CIOs from some of South Africa’s top financial services providers. </w:t>
      </w:r>
    </w:p>
    <w:p w14:paraId="2BE7E006" w14:textId="77777777" w:rsidR="00196629" w:rsidRPr="00196629" w:rsidRDefault="00196629" w:rsidP="00196629">
      <w:pPr>
        <w:rPr>
          <w:rFonts w:eastAsia="Times New Roman" w:cs="Times New Roman"/>
          <w:lang w:val="en-US"/>
        </w:rPr>
      </w:pPr>
      <w:r w:rsidRPr="00196629">
        <w:rPr>
          <w:rFonts w:eastAsia="Times New Roman" w:cs="Times New Roman"/>
          <w:b/>
          <w:bCs/>
          <w:lang w:val="en-US"/>
        </w:rPr>
        <w:t>SSG Consulting</w:t>
      </w:r>
      <w:r w:rsidRPr="00196629">
        <w:rPr>
          <w:rFonts w:eastAsia="Times New Roman" w:cs="Times New Roman"/>
          <w:lang w:val="en-US"/>
        </w:rPr>
        <w:t>’s KEY360</w:t>
      </w:r>
      <w:r>
        <w:rPr>
          <w:rFonts w:eastAsia="Times New Roman" w:cs="Times New Roman"/>
          <w:lang w:val="en-US"/>
        </w:rPr>
        <w:t xml:space="preserve"> -</w:t>
      </w:r>
      <w:r w:rsidRPr="00196629">
        <w:rPr>
          <w:rFonts w:eastAsia="Times New Roman" w:cs="Times New Roman"/>
          <w:lang w:val="en-US"/>
        </w:rPr>
        <w:t xml:space="preserve"> a revolutionary cloud-based business and project management solution with exceptional capabilities to handle workflow, data, documents, dashboards, KPIs, business and staff optimisation together with upskilling.</w:t>
      </w:r>
    </w:p>
    <w:p w14:paraId="4CE1E429" w14:textId="595BC4A1" w:rsidR="006D1578" w:rsidRPr="006D1578" w:rsidRDefault="006D1578" w:rsidP="006D1578">
      <w:pPr>
        <w:pStyle w:val="NormalWeb"/>
        <w:rPr>
          <w:rFonts w:asciiTheme="minorHAnsi" w:hAnsiTheme="minorHAnsi"/>
        </w:rPr>
      </w:pPr>
      <w:r w:rsidRPr="006D1578">
        <w:rPr>
          <w:rFonts w:asciiTheme="minorHAnsi" w:hAnsiTheme="minorHAnsi"/>
        </w:rPr>
        <w:t>SSG Consulting is a Project and Engineering Management Consulting firm, specialising in Mega-Construction Projects. These include Infrastructure, Mining, Energy, Water and Petrochemical Projects. Based on our broad experience, we have recently also become involved in smaller projects ranging from commercial ventures to IT projects.</w:t>
      </w:r>
    </w:p>
    <w:p w14:paraId="10FAD6EF" w14:textId="19EC381D" w:rsidR="006D1578" w:rsidRPr="006D1578" w:rsidRDefault="006D1578" w:rsidP="006D1578">
      <w:pPr>
        <w:pStyle w:val="NormalWeb"/>
        <w:rPr>
          <w:rFonts w:asciiTheme="minorHAnsi" w:hAnsiTheme="minorHAnsi"/>
        </w:rPr>
      </w:pPr>
      <w:r w:rsidRPr="006D1578">
        <w:rPr>
          <w:rFonts w:asciiTheme="minorHAnsi" w:hAnsiTheme="minorHAnsi"/>
        </w:rPr>
        <w:t>As a company we strive to innovate and develop business excellence internally and for our clients. This drive has led to the development of a revolutionary, cutting edge suite of Business and Project Management software solutions called “KEY360 Management Systems”. The “Cloud and Web” based technology heralds a new paradigm in data- management and collaboration on an international scale.</w:t>
      </w:r>
    </w:p>
    <w:p w14:paraId="3FD375D4" w14:textId="1A4FD574" w:rsidR="00196629" w:rsidRPr="006D1578" w:rsidRDefault="006D1578" w:rsidP="006D1578">
      <w:pPr>
        <w:pStyle w:val="NormalWeb"/>
        <w:rPr>
          <w:rFonts w:asciiTheme="minorHAnsi" w:hAnsiTheme="minorHAnsi"/>
        </w:rPr>
      </w:pPr>
      <w:r w:rsidRPr="006D1578">
        <w:rPr>
          <w:rFonts w:asciiTheme="minorHAnsi" w:hAnsiTheme="minorHAnsi"/>
        </w:rPr>
        <w:t>SSG Consulting also prides itself on excellence in our staff. This core strategy incorporates unique Recruitment, Development, Leadership and Management initiatives.</w:t>
      </w:r>
    </w:p>
    <w:sectPr w:rsidR="00196629" w:rsidRPr="006D1578" w:rsidSect="0056203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9AA"/>
    <w:rsid w:val="000A75DC"/>
    <w:rsid w:val="00196629"/>
    <w:rsid w:val="00252F50"/>
    <w:rsid w:val="002B2433"/>
    <w:rsid w:val="00562032"/>
    <w:rsid w:val="005B49AA"/>
    <w:rsid w:val="006D1578"/>
    <w:rsid w:val="007E0E8D"/>
    <w:rsid w:val="00B54F14"/>
    <w:rsid w:val="00B67493"/>
    <w:rsid w:val="00DA2160"/>
    <w:rsid w:val="00FF780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53D8940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D1578"/>
    <w:pPr>
      <w:spacing w:before="100" w:beforeAutospacing="1" w:after="100" w:afterAutospacing="1"/>
    </w:pPr>
    <w:rPr>
      <w:rFonts w:ascii="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713817">
      <w:bodyDiv w:val="1"/>
      <w:marLeft w:val="0"/>
      <w:marRight w:val="0"/>
      <w:marTop w:val="0"/>
      <w:marBottom w:val="0"/>
      <w:divBdr>
        <w:top w:val="none" w:sz="0" w:space="0" w:color="auto"/>
        <w:left w:val="none" w:sz="0" w:space="0" w:color="auto"/>
        <w:bottom w:val="none" w:sz="0" w:space="0" w:color="auto"/>
        <w:right w:val="none" w:sz="0" w:space="0" w:color="auto"/>
      </w:divBdr>
    </w:div>
    <w:div w:id="385758505">
      <w:bodyDiv w:val="1"/>
      <w:marLeft w:val="0"/>
      <w:marRight w:val="0"/>
      <w:marTop w:val="0"/>
      <w:marBottom w:val="0"/>
      <w:divBdr>
        <w:top w:val="none" w:sz="0" w:space="0" w:color="auto"/>
        <w:left w:val="none" w:sz="0" w:space="0" w:color="auto"/>
        <w:bottom w:val="none" w:sz="0" w:space="0" w:color="auto"/>
        <w:right w:val="none" w:sz="0" w:space="0" w:color="auto"/>
      </w:divBdr>
    </w:div>
    <w:div w:id="457186835">
      <w:bodyDiv w:val="1"/>
      <w:marLeft w:val="0"/>
      <w:marRight w:val="0"/>
      <w:marTop w:val="0"/>
      <w:marBottom w:val="0"/>
      <w:divBdr>
        <w:top w:val="none" w:sz="0" w:space="0" w:color="auto"/>
        <w:left w:val="none" w:sz="0" w:space="0" w:color="auto"/>
        <w:bottom w:val="none" w:sz="0" w:space="0" w:color="auto"/>
        <w:right w:val="none" w:sz="0" w:space="0" w:color="auto"/>
      </w:divBdr>
    </w:div>
    <w:div w:id="89516543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465</Words>
  <Characters>2653</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Priscilla Moroke</cp:lastModifiedBy>
  <cp:revision>2</cp:revision>
  <dcterms:created xsi:type="dcterms:W3CDTF">2016-10-14T14:16:00Z</dcterms:created>
  <dcterms:modified xsi:type="dcterms:W3CDTF">2016-10-14T14:16:00Z</dcterms:modified>
</cp:coreProperties>
</file>