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F07EF" w14:textId="77777777" w:rsidR="009F0B20" w:rsidRPr="009F0B20" w:rsidRDefault="009D7895" w:rsidP="009F0B2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Oct. 6, 2016 </w:t>
      </w:r>
    </w:p>
    <w:p w14:paraId="4DA0331D" w14:textId="77777777" w:rsidR="009F0B20" w:rsidRPr="009F0B20" w:rsidRDefault="009F0B20" w:rsidP="009F0B2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9F0B20">
        <w:rPr>
          <w:rFonts w:ascii="Times New Roman" w:eastAsia="Times New Roman" w:hAnsi="Times New Roman" w:cs="Times New Roman"/>
          <w:b/>
          <w:bCs/>
          <w:kern w:val="36"/>
          <w:sz w:val="48"/>
          <w:szCs w:val="48"/>
        </w:rPr>
        <w:t xml:space="preserve">Yokogawa Develops Process Data Analytics Software for the Early Detection of Production Quality Issues </w:t>
      </w:r>
      <w:bookmarkStart w:id="0" w:name="_GoBack"/>
      <w:bookmarkEnd w:id="0"/>
    </w:p>
    <w:p w14:paraId="15D5D0D4"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–Used in combination with a Yokogawa analytical service to ensure high product quality– </w:t>
      </w:r>
    </w:p>
    <w:p w14:paraId="46B92111"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TOKYO--(</w:t>
      </w:r>
      <w:hyperlink r:id="rId4" w:history="1">
        <w:r w:rsidRPr="009F0B20">
          <w:rPr>
            <w:rFonts w:ascii="Times New Roman" w:eastAsia="Times New Roman" w:hAnsi="Times New Roman" w:cs="Times New Roman"/>
            <w:color w:val="0000FF"/>
            <w:sz w:val="24"/>
            <w:szCs w:val="24"/>
            <w:u w:val="single"/>
          </w:rPr>
          <w:t>BUSINESS WIRE</w:t>
        </w:r>
      </w:hyperlink>
      <w:r w:rsidR="009D7895">
        <w:rPr>
          <w:rFonts w:ascii="Times New Roman" w:eastAsia="Times New Roman" w:hAnsi="Times New Roman" w:cs="Times New Roman"/>
          <w:color w:val="0000FF"/>
          <w:sz w:val="24"/>
          <w:szCs w:val="24"/>
          <w:u w:val="single"/>
        </w:rPr>
        <w:t>/</w:t>
      </w:r>
      <w:hyperlink r:id="rId5" w:history="1">
        <w:r w:rsidR="009D7895" w:rsidRPr="00AC4C5A">
          <w:rPr>
            <w:rStyle w:val="Hyperlink"/>
            <w:rFonts w:asciiTheme="majorBidi" w:hAnsiTheme="majorBidi" w:cstheme="majorBidi"/>
          </w:rPr>
          <w:t>ME NewsWire</w:t>
        </w:r>
      </w:hyperlink>
      <w:r w:rsidRPr="009F0B20">
        <w:rPr>
          <w:rFonts w:ascii="Times New Roman" w:eastAsia="Times New Roman" w:hAnsi="Times New Roman" w:cs="Times New Roman"/>
          <w:sz w:val="24"/>
          <w:szCs w:val="24"/>
        </w:rPr>
        <w:t xml:space="preserve">)-- Yokogawa Electric Corporation (TOKYO:6841) announces that it has developed Process Data Analytics, an application program that can detect a decline in quality or productivity at an early stage of the manufacturing process by analyzing process data, facility status information, operation history, and other data. Used in combination with Yokogawa’s analytical services, this software is a quality stabilization solution that can help companies stabilize and continuously improve the quality of their products. This software will be released for sale in March 2017. </w:t>
      </w:r>
    </w:p>
    <w:p w14:paraId="47367107"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b/>
          <w:bCs/>
          <w:sz w:val="24"/>
          <w:szCs w:val="24"/>
        </w:rPr>
        <w:t>Development Background</w:t>
      </w:r>
      <w:r w:rsidRPr="009F0B20">
        <w:rPr>
          <w:rFonts w:ascii="Times New Roman" w:eastAsia="Times New Roman" w:hAnsi="Times New Roman" w:cs="Times New Roman"/>
          <w:sz w:val="24"/>
          <w:szCs w:val="24"/>
        </w:rPr>
        <w:t xml:space="preserve"> </w:t>
      </w:r>
    </w:p>
    <w:p w14:paraId="0E9AE9F2"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While working to quickly respond to a diverse array of market needs, manufacturers face a growing need to stabilize the quality of the products coming off their production lines. Product quality is affected by factors such as fluctuations in the quality of raw materials and the aging of manufacturing facilities. Even when the raw materials supplied by different contractors vary in composition, the need to ensure high quality in the final product remains unchanged. To improve quality in each production process and thereby improve the quality of their final products, manufacturers must analyze various types of data. The effectiveness of such analysis has largely depended on the knowledge and expertise of the workers at each production site. </w:t>
      </w:r>
    </w:p>
    <w:p w14:paraId="680D9891"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As a solution to such challenges, Yokogawa began offering a process data analytical service to its customers in 2008. To date, more than 100 contracts for this service have been concluded with companies in Japan’s chemical industry and other industry sectors, and these companies have come to rely on this service. </w:t>
      </w:r>
    </w:p>
    <w:p w14:paraId="6CA2E098"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Based on the insights that Yokogawa engineers gained by providing this service to their customers, the company developed an analytical tool to improve its efficacy and thereby help its customers maintain and improve product quality. This software makes use of the Mahalanobis Taguchi (MT) method</w:t>
      </w:r>
      <w:r w:rsidRPr="009F0B20">
        <w:rPr>
          <w:rFonts w:ascii="Times New Roman" w:eastAsia="Times New Roman" w:hAnsi="Times New Roman" w:cs="Times New Roman"/>
          <w:sz w:val="24"/>
          <w:szCs w:val="24"/>
          <w:vertAlign w:val="superscript"/>
        </w:rPr>
        <w:t>*1</w:t>
      </w:r>
      <w:r w:rsidRPr="009F0B20">
        <w:rPr>
          <w:rFonts w:ascii="Times New Roman" w:eastAsia="Times New Roman" w:hAnsi="Times New Roman" w:cs="Times New Roman"/>
          <w:sz w:val="24"/>
          <w:szCs w:val="24"/>
        </w:rPr>
        <w:t xml:space="preserve">, a pattern-recognition technique that is employed in multivariate analysis. The company is now preparing for the commercial release of this software. </w:t>
      </w:r>
    </w:p>
    <w:p w14:paraId="3F8F12F7"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b/>
          <w:bCs/>
          <w:sz w:val="24"/>
          <w:szCs w:val="24"/>
        </w:rPr>
        <w:t>Features of This Software</w:t>
      </w:r>
      <w:r w:rsidRPr="009F0B20">
        <w:rPr>
          <w:rFonts w:ascii="Times New Roman" w:eastAsia="Times New Roman" w:hAnsi="Times New Roman" w:cs="Times New Roman"/>
          <w:sz w:val="24"/>
          <w:szCs w:val="24"/>
        </w:rPr>
        <w:t xml:space="preserve"> </w:t>
      </w:r>
    </w:p>
    <w:p w14:paraId="6ED76F5C"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Process Data Analytics will run on Windows</w:t>
      </w:r>
      <w:r w:rsidRPr="009F0B20">
        <w:rPr>
          <w:rFonts w:ascii="Times New Roman" w:eastAsia="Times New Roman" w:hAnsi="Times New Roman" w:cs="Times New Roman"/>
          <w:sz w:val="24"/>
          <w:szCs w:val="24"/>
          <w:vertAlign w:val="superscript"/>
        </w:rPr>
        <w:t xml:space="preserve">® </w:t>
      </w:r>
      <w:r w:rsidRPr="009F0B20">
        <w:rPr>
          <w:rFonts w:ascii="Times New Roman" w:eastAsia="Times New Roman" w:hAnsi="Times New Roman" w:cs="Times New Roman"/>
          <w:sz w:val="24"/>
          <w:szCs w:val="24"/>
        </w:rPr>
        <w:t xml:space="preserve">PCs and will analyze production operations using temperature, pressure, flow rate, liquid level, and other process data as well as data on facility operations and equipment maintenance collected by a plant information management system </w:t>
      </w:r>
      <w:r w:rsidRPr="009F0B20">
        <w:rPr>
          <w:rFonts w:ascii="Times New Roman" w:eastAsia="Times New Roman" w:hAnsi="Times New Roman" w:cs="Times New Roman"/>
          <w:sz w:val="24"/>
          <w:szCs w:val="24"/>
        </w:rPr>
        <w:lastRenderedPageBreak/>
        <w:t xml:space="preserve">(PIMS), DCS, or PLC. While data from such systems must normally be converted to CSV format for use in another program, data from Yokogawa’s Exaquantum plant information management system can be used as is, without the need for file conversion. </w:t>
      </w:r>
    </w:p>
    <w:p w14:paraId="59D81043"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Process Data Analytics will use the MT method for the analysis of multiple statistical variables. This will compare the collected data and accurately detect deviations from normal conditions. Any deviation will trigger a warning that quality may have deteriorated. By using the “four M” criteria of material, method, machine, and manpower to analyze process data, this software can visualize changes in production processes and thereby improve operations at manufacturing sites. Key benefits of this software are as follows: </w:t>
      </w:r>
    </w:p>
    <w:p w14:paraId="50F4AD49"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1. Early detection of abnormalities in production processes</w:t>
      </w:r>
      <w:r w:rsidRPr="009F0B20">
        <w:rPr>
          <w:rFonts w:ascii="Times New Roman" w:eastAsia="Times New Roman" w:hAnsi="Times New Roman" w:cs="Times New Roman"/>
          <w:sz w:val="24"/>
          <w:szCs w:val="24"/>
        </w:rPr>
        <w:br/>
        <w:t xml:space="preserve">By detecting changes in production process data, this software can spot quality and productivity issues at an early stage of the manufacturing process. Based on this information, measures can then be taken to bring production operations back to a normal condition and recover quality. </w:t>
      </w:r>
    </w:p>
    <w:p w14:paraId="55A8A648"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2. Fail-proof quality inspection</w:t>
      </w:r>
      <w:r w:rsidRPr="009F0B20">
        <w:rPr>
          <w:rFonts w:ascii="Times New Roman" w:eastAsia="Times New Roman" w:hAnsi="Times New Roman" w:cs="Times New Roman"/>
          <w:sz w:val="24"/>
          <w:szCs w:val="24"/>
        </w:rPr>
        <w:br/>
        <w:t xml:space="preserve">By detecting changes in the data from production processes, this software can detect any sign of deteriorating quality and thereby catch any fault that might be overlooked in a conventional pre-shipment inspection. This can help quality assurance departments improve their quality inspection process. </w:t>
      </w:r>
    </w:p>
    <w:p w14:paraId="41FFED0D"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3. Extensible via integration with MATLAB</w:t>
      </w:r>
      <w:r w:rsidRPr="009F0B20">
        <w:rPr>
          <w:rFonts w:ascii="Times New Roman" w:eastAsia="Times New Roman" w:hAnsi="Times New Roman" w:cs="Times New Roman"/>
          <w:sz w:val="24"/>
          <w:szCs w:val="24"/>
          <w:vertAlign w:val="superscript"/>
        </w:rPr>
        <w:t>®*2</w:t>
      </w:r>
      <w:r w:rsidRPr="009F0B20">
        <w:rPr>
          <w:rFonts w:ascii="Times New Roman" w:eastAsia="Times New Roman" w:hAnsi="Times New Roman" w:cs="Times New Roman"/>
          <w:sz w:val="24"/>
          <w:szCs w:val="24"/>
        </w:rPr>
        <w:br/>
        <w:t>This software supports MATLAB, the widely used numerical analysis tool from MathWorks</w:t>
      </w:r>
      <w:r w:rsidRPr="009F0B20">
        <w:rPr>
          <w:rFonts w:ascii="Times New Roman" w:eastAsia="Times New Roman" w:hAnsi="Times New Roman" w:cs="Times New Roman"/>
          <w:sz w:val="24"/>
          <w:szCs w:val="24"/>
          <w:vertAlign w:val="superscript"/>
        </w:rPr>
        <w:t>®</w:t>
      </w:r>
      <w:r w:rsidRPr="009F0B20">
        <w:rPr>
          <w:rFonts w:ascii="Times New Roman" w:eastAsia="Times New Roman" w:hAnsi="Times New Roman" w:cs="Times New Roman"/>
          <w:sz w:val="24"/>
          <w:szCs w:val="24"/>
        </w:rPr>
        <w:t xml:space="preserve">. Custom MATLAB calculations can be integrated within the Process Data Analytics software to ensure the leveraging of unique business and domain knowledge. </w:t>
      </w:r>
    </w:p>
    <w:p w14:paraId="1235DDD9"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4. High speed and accuracy through use of AngleTry Associates’ proprietary technology</w:t>
      </w:r>
      <w:r w:rsidRPr="009F0B20">
        <w:rPr>
          <w:rFonts w:ascii="Times New Roman" w:eastAsia="Times New Roman" w:hAnsi="Times New Roman" w:cs="Times New Roman"/>
          <w:sz w:val="24"/>
          <w:szCs w:val="24"/>
        </w:rPr>
        <w:br/>
        <w:t>Thanks to the use of a pattern-recognition technology licensed from AngleTry Associates</w:t>
      </w:r>
      <w:r w:rsidRPr="009F0B20">
        <w:rPr>
          <w:rFonts w:ascii="Times New Roman" w:eastAsia="Times New Roman" w:hAnsi="Times New Roman" w:cs="Times New Roman"/>
          <w:sz w:val="24"/>
          <w:szCs w:val="24"/>
          <w:vertAlign w:val="superscript"/>
        </w:rPr>
        <w:t>*3</w:t>
      </w:r>
      <w:r w:rsidRPr="009F0B20">
        <w:rPr>
          <w:rFonts w:ascii="Times New Roman" w:eastAsia="Times New Roman" w:hAnsi="Times New Roman" w:cs="Times New Roman"/>
          <w:sz w:val="24"/>
          <w:szCs w:val="24"/>
        </w:rPr>
        <w:t xml:space="preserve">, this software delivers quick and accurate analyses. This technology is particularly useful with consulting and systems construction. </w:t>
      </w:r>
    </w:p>
    <w:p w14:paraId="378C844E"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b/>
          <w:bCs/>
          <w:sz w:val="24"/>
          <w:szCs w:val="24"/>
        </w:rPr>
        <w:t>Main Applications</w:t>
      </w:r>
      <w:r w:rsidRPr="009F0B20">
        <w:rPr>
          <w:rFonts w:ascii="Times New Roman" w:eastAsia="Times New Roman" w:hAnsi="Times New Roman" w:cs="Times New Roman"/>
          <w:sz w:val="24"/>
          <w:szCs w:val="24"/>
        </w:rPr>
        <w:t xml:space="preserve"> </w:t>
      </w:r>
    </w:p>
    <w:p w14:paraId="24BC8033"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Production quality control in the oil, petrochemical, chemical, pulp and paper, iron and steel, pharmaceutical, food, automobile, glass, rubber, electrical equipment/electronics, and other industries </w:t>
      </w:r>
    </w:p>
    <w:p w14:paraId="6E8EF286"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b/>
          <w:bCs/>
          <w:sz w:val="24"/>
          <w:szCs w:val="24"/>
        </w:rPr>
        <w:t>Our Approach</w:t>
      </w:r>
      <w:r w:rsidRPr="009F0B20">
        <w:rPr>
          <w:rFonts w:ascii="Times New Roman" w:eastAsia="Times New Roman" w:hAnsi="Times New Roman" w:cs="Times New Roman"/>
          <w:sz w:val="24"/>
          <w:szCs w:val="24"/>
        </w:rPr>
        <w:t xml:space="preserve"> </w:t>
      </w:r>
    </w:p>
    <w:p w14:paraId="7CFB0240"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Expanding our provision of advanced solutions for control applications is a high priority in the Transformation 2017 mid-term business plan. Yokogawa offers a variety of advanced software solutions that help manufacturers improve production efficiency, safety, and energy efficiency, and thereby make the most effective use of their production facilities. We will henceforth strive to expand our advanced solutions through the development of software and the pursuit of </w:t>
      </w:r>
      <w:r w:rsidRPr="009F0B20">
        <w:rPr>
          <w:rFonts w:ascii="Times New Roman" w:eastAsia="Times New Roman" w:hAnsi="Times New Roman" w:cs="Times New Roman"/>
          <w:sz w:val="24"/>
          <w:szCs w:val="24"/>
        </w:rPr>
        <w:lastRenderedPageBreak/>
        <w:t xml:space="preserve">alliances, and will seek to accelerate growth for our customers by working with them to find solutions and create value. </w:t>
      </w:r>
    </w:p>
    <w:p w14:paraId="44924FF4"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vertAlign w:val="superscript"/>
        </w:rPr>
        <w:t xml:space="preserve">*1 </w:t>
      </w:r>
      <w:r w:rsidRPr="009F0B20">
        <w:rPr>
          <w:rFonts w:ascii="Times New Roman" w:eastAsia="Times New Roman" w:hAnsi="Times New Roman" w:cs="Times New Roman"/>
          <w:sz w:val="24"/>
          <w:szCs w:val="24"/>
        </w:rPr>
        <w:t xml:space="preserve">The MT method is a pattern-recognition technique. It is named after Dr. P.C. Mahalanobis, who introduced the Mahalanobis distance (a multivariate measurement scale based on the correlation among variables), and Dr. Genichi Taguchi, who was one of the key figures in the development of quality engineering. Based on the distance between reference data and sample data, this method can quantitatively determine the deviation from the target data. </w:t>
      </w:r>
    </w:p>
    <w:p w14:paraId="3C122379"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vertAlign w:val="superscript"/>
        </w:rPr>
        <w:t>*2</w:t>
      </w:r>
      <w:r w:rsidRPr="009F0B20">
        <w:rPr>
          <w:rFonts w:ascii="Times New Roman" w:eastAsia="Times New Roman" w:hAnsi="Times New Roman" w:cs="Times New Roman"/>
          <w:sz w:val="24"/>
          <w:szCs w:val="24"/>
        </w:rPr>
        <w:t xml:space="preserve"> Please note that a license to use this product must be purchased. </w:t>
      </w:r>
    </w:p>
    <w:p w14:paraId="1EE7BF03"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vertAlign w:val="superscript"/>
        </w:rPr>
        <w:t>*3</w:t>
      </w:r>
      <w:r w:rsidRPr="009F0B20">
        <w:rPr>
          <w:rFonts w:ascii="Times New Roman" w:eastAsia="Times New Roman" w:hAnsi="Times New Roman" w:cs="Times New Roman"/>
          <w:sz w:val="24"/>
          <w:szCs w:val="24"/>
        </w:rPr>
        <w:t xml:space="preserve"> A consulting and MT systems development company that has sold over 500 licenses for pattern-recognition and other technologies mainly in Japan. The Japan Aerospace Exploration Agency (JAXA) has chosen AngleTry’s technology for the autonomous inspection of its Epsilon rocket. </w:t>
      </w:r>
    </w:p>
    <w:p w14:paraId="3B9798B4"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b/>
          <w:bCs/>
          <w:sz w:val="24"/>
          <w:szCs w:val="24"/>
        </w:rPr>
        <w:t>About Yokogawa</w:t>
      </w:r>
      <w:r w:rsidRPr="009F0B20">
        <w:rPr>
          <w:rFonts w:ascii="Times New Roman" w:eastAsia="Times New Roman" w:hAnsi="Times New Roman" w:cs="Times New Roman"/>
          <w:sz w:val="24"/>
          <w:szCs w:val="24"/>
        </w:rPr>
        <w:t xml:space="preserve"> </w:t>
      </w:r>
    </w:p>
    <w:p w14:paraId="41C9F739"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 xml:space="preserve">Yokogawa is active in the industrial automation and control, test and measurement, and aviation and other businesses segments. For more information, visit </w:t>
      </w:r>
      <w:hyperlink r:id="rId6" w:history="1">
        <w:r w:rsidRPr="009F0B20">
          <w:rPr>
            <w:rFonts w:ascii="Times New Roman" w:eastAsia="Times New Roman" w:hAnsi="Times New Roman" w:cs="Times New Roman"/>
            <w:color w:val="0000FF"/>
            <w:sz w:val="24"/>
            <w:szCs w:val="24"/>
            <w:u w:val="single"/>
          </w:rPr>
          <w:t>www.yokogawa.com</w:t>
        </w:r>
      </w:hyperlink>
      <w:r w:rsidRPr="009F0B20">
        <w:rPr>
          <w:rFonts w:ascii="Times New Roman" w:eastAsia="Times New Roman" w:hAnsi="Times New Roman" w:cs="Times New Roman"/>
          <w:sz w:val="24"/>
          <w:szCs w:val="24"/>
        </w:rPr>
        <w:t xml:space="preserve">. </w:t>
      </w:r>
    </w:p>
    <w:p w14:paraId="7C1E2AA2"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The names of the companies, organizations, and brands in this text are the trademarks or registered trademarks of the respective holders.</w:t>
      </w:r>
    </w:p>
    <w:p w14:paraId="2C567C64" w14:textId="77777777" w:rsidR="009F0B20" w:rsidRDefault="009F0B20" w:rsidP="009F0B20">
      <w:pPr>
        <w:spacing w:after="0" w:line="240" w:lineRule="auto"/>
        <w:rPr>
          <w:rFonts w:ascii="Times New Roman" w:eastAsia="Times New Roman" w:hAnsi="Times New Roman" w:cs="Times New Roman"/>
          <w:color w:val="0000FF"/>
          <w:sz w:val="24"/>
          <w:szCs w:val="24"/>
          <w:u w:val="single"/>
        </w:rPr>
      </w:pPr>
      <w:r w:rsidRPr="009F0B20">
        <w:rPr>
          <w:rFonts w:ascii="Times New Roman" w:eastAsia="Times New Roman" w:hAnsi="Times New Roman" w:cs="Times New Roman"/>
          <w:sz w:val="24"/>
          <w:szCs w:val="24"/>
        </w:rPr>
        <w:t xml:space="preserve">Photos/Multimedia Gallery Available: </w:t>
      </w:r>
      <w:hyperlink r:id="rId7" w:history="1">
        <w:r w:rsidRPr="009F0B20">
          <w:rPr>
            <w:rFonts w:ascii="Times New Roman" w:eastAsia="Times New Roman" w:hAnsi="Times New Roman" w:cs="Times New Roman"/>
            <w:color w:val="0000FF"/>
            <w:sz w:val="24"/>
            <w:szCs w:val="24"/>
            <w:u w:val="single"/>
          </w:rPr>
          <w:t>http://www.businesswire.com/cgi-bin/mmg.cgi?eid=51431442&amp;lang=en</w:t>
        </w:r>
      </w:hyperlink>
    </w:p>
    <w:p w14:paraId="0CEEE5C4" w14:textId="77777777" w:rsidR="009D7895" w:rsidRPr="00AC4C5A" w:rsidRDefault="009D7895" w:rsidP="009D7895">
      <w:pPr>
        <w:tabs>
          <w:tab w:val="left" w:pos="2753"/>
        </w:tabs>
        <w:spacing w:before="100" w:beforeAutospacing="1" w:after="100" w:afterAutospacing="1"/>
        <w:rPr>
          <w:rFonts w:asciiTheme="majorBidi" w:hAnsiTheme="majorBidi" w:cstheme="majorBidi"/>
        </w:rPr>
      </w:pPr>
      <w:r w:rsidRPr="00AC4C5A">
        <w:rPr>
          <w:rFonts w:asciiTheme="majorBidi" w:hAnsiTheme="majorBidi" w:cstheme="majorBidi"/>
        </w:rPr>
        <w:t xml:space="preserve">*source: </w:t>
      </w:r>
      <w:hyperlink r:id="rId8" w:history="1">
        <w:r w:rsidRPr="00AC4C5A">
          <w:rPr>
            <w:rStyle w:val="Hyperlink"/>
            <w:rFonts w:asciiTheme="majorBidi" w:hAnsiTheme="majorBidi" w:cstheme="majorBidi"/>
          </w:rPr>
          <w:t>ME NewsWire</w:t>
        </w:r>
      </w:hyperlink>
    </w:p>
    <w:p w14:paraId="43F15716" w14:textId="77777777" w:rsidR="009D7895" w:rsidRDefault="009D7895" w:rsidP="009D7895">
      <w:pPr>
        <w:rPr>
          <w:rFonts w:asciiTheme="majorBidi" w:hAnsiTheme="majorBidi" w:cstheme="majorBidi"/>
        </w:rPr>
      </w:pPr>
      <w:r w:rsidRPr="00AC4C5A">
        <w:rPr>
          <w:rFonts w:asciiTheme="majorBidi" w:hAnsiTheme="majorBidi" w:cstheme="majorBidi"/>
        </w:rPr>
        <w:t>The release can be read online:</w:t>
      </w:r>
      <w:r>
        <w:rPr>
          <w:rFonts w:asciiTheme="majorBidi" w:hAnsiTheme="majorBidi" w:cstheme="majorBidi"/>
        </w:rPr>
        <w:t xml:space="preserve">    </w:t>
      </w:r>
      <w:hyperlink r:id="rId9" w:history="1">
        <w:r w:rsidRPr="00BE7EF0">
          <w:rPr>
            <w:rStyle w:val="Hyperlink"/>
            <w:rFonts w:asciiTheme="majorBidi" w:hAnsiTheme="majorBidi" w:cstheme="majorBidi"/>
          </w:rPr>
          <w:t>http://me-newswire.net/news/18784/en</w:t>
        </w:r>
      </w:hyperlink>
      <w:r>
        <w:rPr>
          <w:rFonts w:asciiTheme="majorBidi" w:hAnsiTheme="majorBidi" w:cstheme="majorBidi"/>
        </w:rPr>
        <w:t xml:space="preserve"> </w:t>
      </w:r>
    </w:p>
    <w:p w14:paraId="1CA6BA64" w14:textId="77777777" w:rsidR="009F0B20" w:rsidRPr="009F0B20" w:rsidRDefault="009F0B20" w:rsidP="009F0B20">
      <w:pPr>
        <w:spacing w:before="100" w:beforeAutospacing="1" w:after="100" w:afterAutospacing="1" w:line="240" w:lineRule="auto"/>
        <w:outlineLvl w:val="1"/>
        <w:rPr>
          <w:rFonts w:ascii="Times New Roman" w:eastAsia="Times New Roman" w:hAnsi="Times New Roman" w:cs="Times New Roman"/>
          <w:b/>
          <w:bCs/>
          <w:sz w:val="36"/>
          <w:szCs w:val="36"/>
        </w:rPr>
      </w:pPr>
      <w:r w:rsidRPr="009F0B20">
        <w:rPr>
          <w:rFonts w:ascii="Times New Roman" w:eastAsia="Times New Roman" w:hAnsi="Times New Roman" w:cs="Times New Roman"/>
          <w:b/>
          <w:bCs/>
          <w:sz w:val="36"/>
          <w:szCs w:val="36"/>
        </w:rPr>
        <w:t>Contacts</w:t>
      </w:r>
    </w:p>
    <w:p w14:paraId="4349482C" w14:textId="77777777" w:rsidR="009F0B20" w:rsidRPr="009F0B20" w:rsidRDefault="009F0B20" w:rsidP="009F0B20">
      <w:pPr>
        <w:spacing w:before="100" w:beforeAutospacing="1" w:after="100" w:afterAutospacing="1" w:line="240" w:lineRule="auto"/>
        <w:rPr>
          <w:rFonts w:ascii="Times New Roman" w:eastAsia="Times New Roman" w:hAnsi="Times New Roman" w:cs="Times New Roman"/>
          <w:sz w:val="24"/>
          <w:szCs w:val="24"/>
        </w:rPr>
      </w:pPr>
      <w:r w:rsidRPr="009F0B20">
        <w:rPr>
          <w:rFonts w:ascii="Times New Roman" w:eastAsia="Times New Roman" w:hAnsi="Times New Roman" w:cs="Times New Roman"/>
          <w:sz w:val="24"/>
          <w:szCs w:val="24"/>
        </w:rPr>
        <w:t>Yokogawa Electric Corporation</w:t>
      </w:r>
      <w:r w:rsidRPr="009F0B20">
        <w:rPr>
          <w:rFonts w:ascii="Times New Roman" w:eastAsia="Times New Roman" w:hAnsi="Times New Roman" w:cs="Times New Roman"/>
          <w:sz w:val="24"/>
          <w:szCs w:val="24"/>
        </w:rPr>
        <w:br/>
        <w:t>Corporate Communications Department</w:t>
      </w:r>
      <w:r w:rsidRPr="009F0B20">
        <w:rPr>
          <w:rFonts w:ascii="Times New Roman" w:eastAsia="Times New Roman" w:hAnsi="Times New Roman" w:cs="Times New Roman"/>
          <w:sz w:val="24"/>
          <w:szCs w:val="24"/>
        </w:rPr>
        <w:br/>
      </w:r>
      <w:hyperlink r:id="rId10" w:history="1">
        <w:r w:rsidRPr="009F0B20">
          <w:rPr>
            <w:rFonts w:ascii="Times New Roman" w:eastAsia="Times New Roman" w:hAnsi="Times New Roman" w:cs="Times New Roman"/>
            <w:color w:val="0000FF"/>
            <w:sz w:val="24"/>
            <w:szCs w:val="24"/>
            <w:u w:val="single"/>
          </w:rPr>
          <w:t>Yokogawa-pr@ml.jp.yokogawa.com</w:t>
        </w:r>
      </w:hyperlink>
      <w:r w:rsidRPr="009F0B20">
        <w:rPr>
          <w:rFonts w:ascii="Times New Roman" w:eastAsia="Times New Roman" w:hAnsi="Times New Roman" w:cs="Times New Roman"/>
          <w:sz w:val="24"/>
          <w:szCs w:val="24"/>
        </w:rPr>
        <w:t xml:space="preserve"> </w:t>
      </w:r>
    </w:p>
    <w:p w14:paraId="6D62A283" w14:textId="77777777" w:rsidR="009F0B20" w:rsidRPr="009F0B20" w:rsidRDefault="009F0B20" w:rsidP="009F0B20">
      <w:pPr>
        <w:spacing w:after="0" w:line="240" w:lineRule="auto"/>
        <w:rPr>
          <w:rFonts w:ascii="Times New Roman" w:eastAsia="Times New Roman" w:hAnsi="Times New Roman" w:cs="Times New Roman"/>
          <w:sz w:val="24"/>
          <w:szCs w:val="24"/>
        </w:rPr>
      </w:pPr>
    </w:p>
    <w:p w14:paraId="7C017652" w14:textId="77777777" w:rsidR="009F0B20" w:rsidRPr="009F0B20" w:rsidRDefault="009D7895" w:rsidP="009F0B2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251602" w14:textId="77777777" w:rsidR="000B077E" w:rsidRDefault="00903A89"/>
    <w:sectPr w:rsidR="000B0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B20"/>
    <w:rsid w:val="00635FD9"/>
    <w:rsid w:val="00903A89"/>
    <w:rsid w:val="009D7895"/>
    <w:rsid w:val="009F0B20"/>
    <w:rsid w:val="00BC65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136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9F0B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F0B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B2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F0B2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F0B20"/>
    <w:rPr>
      <w:color w:val="0000FF"/>
      <w:u w:val="single"/>
    </w:rPr>
  </w:style>
  <w:style w:type="paragraph" w:customStyle="1" w:styleId="bwalignc">
    <w:name w:val="bwalignc"/>
    <w:basedOn w:val="Normal"/>
    <w:rsid w:val="009F0B2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F0B2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F0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B20"/>
    <w:rPr>
      <w:rFonts w:ascii="Tahoma" w:hAnsi="Tahoma" w:cs="Tahoma"/>
      <w:sz w:val="16"/>
      <w:szCs w:val="16"/>
    </w:rPr>
  </w:style>
  <w:style w:type="character" w:styleId="FollowedHyperlink">
    <w:name w:val="FollowedHyperlink"/>
    <w:basedOn w:val="DefaultParagraphFont"/>
    <w:uiPriority w:val="99"/>
    <w:semiHidden/>
    <w:unhideWhenUsed/>
    <w:rsid w:val="009D78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046554">
      <w:bodyDiv w:val="1"/>
      <w:marLeft w:val="0"/>
      <w:marRight w:val="0"/>
      <w:marTop w:val="0"/>
      <w:marBottom w:val="0"/>
      <w:divBdr>
        <w:top w:val="none" w:sz="0" w:space="0" w:color="auto"/>
        <w:left w:val="none" w:sz="0" w:space="0" w:color="auto"/>
        <w:bottom w:val="none" w:sz="0" w:space="0" w:color="auto"/>
        <w:right w:val="none" w:sz="0" w:space="0" w:color="auto"/>
      </w:divBdr>
      <w:divsChild>
        <w:div w:id="771241993">
          <w:marLeft w:val="0"/>
          <w:marRight w:val="0"/>
          <w:marTop w:val="0"/>
          <w:marBottom w:val="0"/>
          <w:divBdr>
            <w:top w:val="none" w:sz="0" w:space="0" w:color="auto"/>
            <w:left w:val="none" w:sz="0" w:space="0" w:color="auto"/>
            <w:bottom w:val="none" w:sz="0" w:space="0" w:color="auto"/>
            <w:right w:val="none" w:sz="0" w:space="0" w:color="auto"/>
          </w:divBdr>
          <w:divsChild>
            <w:div w:id="294723364">
              <w:marLeft w:val="0"/>
              <w:marRight w:val="0"/>
              <w:marTop w:val="0"/>
              <w:marBottom w:val="0"/>
              <w:divBdr>
                <w:top w:val="none" w:sz="0" w:space="0" w:color="auto"/>
                <w:left w:val="none" w:sz="0" w:space="0" w:color="auto"/>
                <w:bottom w:val="none" w:sz="0" w:space="0" w:color="auto"/>
                <w:right w:val="none" w:sz="0" w:space="0" w:color="auto"/>
              </w:divBdr>
              <w:divsChild>
                <w:div w:id="527791166">
                  <w:marLeft w:val="0"/>
                  <w:marRight w:val="0"/>
                  <w:marTop w:val="0"/>
                  <w:marBottom w:val="0"/>
                  <w:divBdr>
                    <w:top w:val="none" w:sz="0" w:space="0" w:color="auto"/>
                    <w:left w:val="none" w:sz="0" w:space="0" w:color="auto"/>
                    <w:bottom w:val="none" w:sz="0" w:space="0" w:color="auto"/>
                    <w:right w:val="none" w:sz="0" w:space="0" w:color="auto"/>
                  </w:divBdr>
                  <w:divsChild>
                    <w:div w:id="387000378">
                      <w:marLeft w:val="0"/>
                      <w:marRight w:val="0"/>
                      <w:marTop w:val="0"/>
                      <w:marBottom w:val="0"/>
                      <w:divBdr>
                        <w:top w:val="none" w:sz="0" w:space="0" w:color="auto"/>
                        <w:left w:val="none" w:sz="0" w:space="0" w:color="auto"/>
                        <w:bottom w:val="none" w:sz="0" w:space="0" w:color="auto"/>
                        <w:right w:val="none" w:sz="0" w:space="0" w:color="auto"/>
                      </w:divBdr>
                    </w:div>
                    <w:div w:id="1542939512">
                      <w:marLeft w:val="0"/>
                      <w:marRight w:val="0"/>
                      <w:marTop w:val="0"/>
                      <w:marBottom w:val="0"/>
                      <w:divBdr>
                        <w:top w:val="none" w:sz="0" w:space="0" w:color="auto"/>
                        <w:left w:val="none" w:sz="0" w:space="0" w:color="auto"/>
                        <w:bottom w:val="none" w:sz="0" w:space="0" w:color="auto"/>
                        <w:right w:val="none" w:sz="0" w:space="0" w:color="auto"/>
                      </w:divBdr>
                      <w:divsChild>
                        <w:div w:id="1268736780">
                          <w:marLeft w:val="0"/>
                          <w:marRight w:val="0"/>
                          <w:marTop w:val="0"/>
                          <w:marBottom w:val="0"/>
                          <w:divBdr>
                            <w:top w:val="none" w:sz="0" w:space="0" w:color="auto"/>
                            <w:left w:val="none" w:sz="0" w:space="0" w:color="auto"/>
                            <w:bottom w:val="none" w:sz="0" w:space="0" w:color="auto"/>
                            <w:right w:val="none" w:sz="0" w:space="0" w:color="auto"/>
                          </w:divBdr>
                        </w:div>
                        <w:div w:id="1573350432">
                          <w:marLeft w:val="0"/>
                          <w:marRight w:val="0"/>
                          <w:marTop w:val="0"/>
                          <w:marBottom w:val="0"/>
                          <w:divBdr>
                            <w:top w:val="none" w:sz="0" w:space="0" w:color="auto"/>
                            <w:left w:val="none" w:sz="0" w:space="0" w:color="auto"/>
                            <w:bottom w:val="none" w:sz="0" w:space="0" w:color="auto"/>
                            <w:right w:val="none" w:sz="0" w:space="0" w:color="auto"/>
                          </w:divBdr>
                        </w:div>
                        <w:div w:id="1796947982">
                          <w:marLeft w:val="0"/>
                          <w:marRight w:val="0"/>
                          <w:marTop w:val="0"/>
                          <w:marBottom w:val="0"/>
                          <w:divBdr>
                            <w:top w:val="none" w:sz="0" w:space="0" w:color="auto"/>
                            <w:left w:val="none" w:sz="0" w:space="0" w:color="auto"/>
                            <w:bottom w:val="none" w:sz="0" w:space="0" w:color="auto"/>
                            <w:right w:val="none" w:sz="0" w:space="0" w:color="auto"/>
                          </w:divBdr>
                          <w:divsChild>
                            <w:div w:id="938559447">
                              <w:marLeft w:val="0"/>
                              <w:marRight w:val="0"/>
                              <w:marTop w:val="0"/>
                              <w:marBottom w:val="0"/>
                              <w:divBdr>
                                <w:top w:val="none" w:sz="0" w:space="0" w:color="auto"/>
                                <w:left w:val="none" w:sz="0" w:space="0" w:color="auto"/>
                                <w:bottom w:val="none" w:sz="0" w:space="0" w:color="auto"/>
                                <w:right w:val="none" w:sz="0" w:space="0" w:color="auto"/>
                              </w:divBdr>
                            </w:div>
                            <w:div w:id="468088670">
                              <w:marLeft w:val="0"/>
                              <w:marRight w:val="0"/>
                              <w:marTop w:val="0"/>
                              <w:marBottom w:val="0"/>
                              <w:divBdr>
                                <w:top w:val="none" w:sz="0" w:space="0" w:color="auto"/>
                                <w:left w:val="none" w:sz="0" w:space="0" w:color="auto"/>
                                <w:bottom w:val="none" w:sz="0" w:space="0" w:color="auto"/>
                                <w:right w:val="none" w:sz="0" w:space="0" w:color="auto"/>
                              </w:divBdr>
                              <w:divsChild>
                                <w:div w:id="431359669">
                                  <w:marLeft w:val="0"/>
                                  <w:marRight w:val="0"/>
                                  <w:marTop w:val="0"/>
                                  <w:marBottom w:val="0"/>
                                  <w:divBdr>
                                    <w:top w:val="none" w:sz="0" w:space="0" w:color="auto"/>
                                    <w:left w:val="none" w:sz="0" w:space="0" w:color="auto"/>
                                    <w:bottom w:val="none" w:sz="0" w:space="0" w:color="auto"/>
                                    <w:right w:val="none" w:sz="0" w:space="0" w:color="auto"/>
                                  </w:divBdr>
                                </w:div>
                                <w:div w:id="1928607855">
                                  <w:marLeft w:val="0"/>
                                  <w:marRight w:val="0"/>
                                  <w:marTop w:val="0"/>
                                  <w:marBottom w:val="0"/>
                                  <w:divBdr>
                                    <w:top w:val="none" w:sz="0" w:space="0" w:color="auto"/>
                                    <w:left w:val="none" w:sz="0" w:space="0" w:color="auto"/>
                                    <w:bottom w:val="none" w:sz="0" w:space="0" w:color="auto"/>
                                    <w:right w:val="none" w:sz="0" w:space="0" w:color="auto"/>
                                  </w:divBdr>
                                  <w:divsChild>
                                    <w:div w:id="155006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04564">
                          <w:marLeft w:val="0"/>
                          <w:marRight w:val="0"/>
                          <w:marTop w:val="0"/>
                          <w:marBottom w:val="0"/>
                          <w:divBdr>
                            <w:top w:val="none" w:sz="0" w:space="0" w:color="auto"/>
                            <w:left w:val="none" w:sz="0" w:space="0" w:color="auto"/>
                            <w:bottom w:val="none" w:sz="0" w:space="0" w:color="auto"/>
                            <w:right w:val="none" w:sz="0" w:space="0" w:color="auto"/>
                          </w:divBdr>
                          <w:divsChild>
                            <w:div w:id="2086680229">
                              <w:marLeft w:val="0"/>
                              <w:marRight w:val="0"/>
                              <w:marTop w:val="0"/>
                              <w:marBottom w:val="0"/>
                              <w:divBdr>
                                <w:top w:val="none" w:sz="0" w:space="0" w:color="auto"/>
                                <w:left w:val="none" w:sz="0" w:space="0" w:color="auto"/>
                                <w:bottom w:val="none" w:sz="0" w:space="0" w:color="auto"/>
                                <w:right w:val="none" w:sz="0" w:space="0" w:color="auto"/>
                              </w:divBdr>
                              <w:divsChild>
                                <w:div w:id="1802723587">
                                  <w:marLeft w:val="0"/>
                                  <w:marRight w:val="0"/>
                                  <w:marTop w:val="0"/>
                                  <w:marBottom w:val="0"/>
                                  <w:divBdr>
                                    <w:top w:val="none" w:sz="0" w:space="0" w:color="auto"/>
                                    <w:left w:val="none" w:sz="0" w:space="0" w:color="auto"/>
                                    <w:bottom w:val="none" w:sz="0" w:space="0" w:color="auto"/>
                                    <w:right w:val="none" w:sz="0" w:space="0" w:color="auto"/>
                                  </w:divBdr>
                                </w:div>
                                <w:div w:id="1121343007">
                                  <w:marLeft w:val="0"/>
                                  <w:marRight w:val="0"/>
                                  <w:marTop w:val="0"/>
                                  <w:marBottom w:val="0"/>
                                  <w:divBdr>
                                    <w:top w:val="none" w:sz="0" w:space="0" w:color="auto"/>
                                    <w:left w:val="none" w:sz="0" w:space="0" w:color="auto"/>
                                    <w:bottom w:val="none" w:sz="0" w:space="0" w:color="auto"/>
                                    <w:right w:val="none" w:sz="0" w:space="0" w:color="auto"/>
                                  </w:divBdr>
                                </w:div>
                              </w:divsChild>
                            </w:div>
                            <w:div w:id="1399203802">
                              <w:marLeft w:val="0"/>
                              <w:marRight w:val="0"/>
                              <w:marTop w:val="0"/>
                              <w:marBottom w:val="0"/>
                              <w:divBdr>
                                <w:top w:val="none" w:sz="0" w:space="0" w:color="auto"/>
                                <w:left w:val="none" w:sz="0" w:space="0" w:color="auto"/>
                                <w:bottom w:val="none" w:sz="0" w:space="0" w:color="auto"/>
                                <w:right w:val="none" w:sz="0" w:space="0" w:color="auto"/>
                              </w:divBdr>
                              <w:divsChild>
                                <w:div w:id="1571840213">
                                  <w:marLeft w:val="0"/>
                                  <w:marRight w:val="0"/>
                                  <w:marTop w:val="0"/>
                                  <w:marBottom w:val="0"/>
                                  <w:divBdr>
                                    <w:top w:val="none" w:sz="0" w:space="0" w:color="auto"/>
                                    <w:left w:val="none" w:sz="0" w:space="0" w:color="auto"/>
                                    <w:bottom w:val="none" w:sz="0" w:space="0" w:color="auto"/>
                                    <w:right w:val="none" w:sz="0" w:space="0" w:color="auto"/>
                                  </w:divBdr>
                                </w:div>
                                <w:div w:id="197174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43956">
                          <w:marLeft w:val="0"/>
                          <w:marRight w:val="0"/>
                          <w:marTop w:val="0"/>
                          <w:marBottom w:val="0"/>
                          <w:divBdr>
                            <w:top w:val="none" w:sz="0" w:space="0" w:color="auto"/>
                            <w:left w:val="none" w:sz="0" w:space="0" w:color="auto"/>
                            <w:bottom w:val="none" w:sz="0" w:space="0" w:color="auto"/>
                            <w:right w:val="none" w:sz="0" w:space="0" w:color="auto"/>
                          </w:divBdr>
                          <w:divsChild>
                            <w:div w:id="84590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cts.businesswire.com/ct/CT?id=smartlink&amp;url=http%3A%2F%2Fwww.yokogawa.com&amp;esheet=51431442&amp;newsitemid=0&amp;lan=en-US&amp;anchor=www.yokogawa.com&amp;index=1&amp;md5=d8420c05171672a311cc4647242f9fe0" TargetMode="External"/><Relationship Id="rId7" Type="http://schemas.openxmlformats.org/officeDocument/2006/relationships/hyperlink" Target="http://www.businesswire.com/cgi-bin/mmg.cgi?eid=51431442&amp;lang=en" TargetMode="External"/><Relationship Id="rId8" Type="http://schemas.openxmlformats.org/officeDocument/2006/relationships/hyperlink" Target="http://www.me-newswire.net" TargetMode="External"/><Relationship Id="rId9" Type="http://schemas.openxmlformats.org/officeDocument/2006/relationships/hyperlink" Target="http://me-newswire.net/news/18784/en" TargetMode="External"/><Relationship Id="rId10" Type="http://schemas.openxmlformats.org/officeDocument/2006/relationships/hyperlink" Target="mailto:Yokogawa-pr@ml.jp.yokogaw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1117</Words>
  <Characters>6373</Characters>
  <Application>Microsoft Macintosh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Priscilla Moroke</cp:lastModifiedBy>
  <cp:revision>2</cp:revision>
  <cp:lastPrinted>2016-10-06T13:06:00Z</cp:lastPrinted>
  <dcterms:created xsi:type="dcterms:W3CDTF">2016-10-06T13:06:00Z</dcterms:created>
  <dcterms:modified xsi:type="dcterms:W3CDTF">2016-10-06T13:06:00Z</dcterms:modified>
</cp:coreProperties>
</file>