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4C15" w14:textId="77777777" w:rsidR="00C361E3" w:rsidRPr="00C361E3" w:rsidRDefault="00000562" w:rsidP="00C361E3">
      <w:pPr>
        <w:pStyle w:val="NoSpacing"/>
        <w:jc w:val="center"/>
      </w:pPr>
      <w:bookmarkStart w:id="0" w:name="_GoBack"/>
      <w:bookmarkEnd w:id="0"/>
      <w:r>
        <w:t>PRESS RELEASE</w:t>
      </w:r>
    </w:p>
    <w:p w14:paraId="46E9231E" w14:textId="77777777" w:rsidR="00A64C15" w:rsidRDefault="00A64C15" w:rsidP="00A64C15">
      <w:pPr>
        <w:jc w:val="center"/>
        <w:rPr>
          <w:rFonts w:ascii="Arial" w:hAnsi="Arial" w:cs="Arial"/>
          <w:b/>
          <w:szCs w:val="21"/>
        </w:rPr>
      </w:pPr>
      <w:bookmarkStart w:id="1" w:name="OLE_LINK5"/>
      <w:bookmarkStart w:id="2" w:name="OLE_LINK6"/>
      <w:bookmarkStart w:id="3" w:name="OLE_LINK1"/>
      <w:bookmarkStart w:id="4" w:name="OLE_LINK7"/>
      <w:bookmarkStart w:id="5" w:name="OLE_LINK8"/>
    </w:p>
    <w:bookmarkEnd w:id="1"/>
    <w:bookmarkEnd w:id="2"/>
    <w:bookmarkEnd w:id="3"/>
    <w:bookmarkEnd w:id="4"/>
    <w:bookmarkEnd w:id="5"/>
    <w:p w14:paraId="68DD93A7" w14:textId="77777777" w:rsidR="00094EB9" w:rsidRDefault="00094EB9" w:rsidP="00094EB9">
      <w:pPr>
        <w:adjustRightInd w:val="0"/>
        <w:snapToGrid w:val="0"/>
        <w:spacing w:beforeLines="100" w:before="240"/>
        <w:ind w:firstLineChars="200" w:firstLine="360"/>
        <w:jc w:val="center"/>
        <w:rPr>
          <w:rFonts w:ascii="Arial" w:eastAsia="微软雅黑" w:hAnsi="Arial" w:cs="Arial"/>
          <w:b/>
          <w:sz w:val="18"/>
          <w:szCs w:val="18"/>
        </w:rPr>
      </w:pPr>
      <w:r>
        <w:rPr>
          <w:rFonts w:ascii="Arial" w:eastAsia="微软雅黑" w:hAnsi="Arial" w:cs="Arial" w:hint="eastAsia"/>
          <w:b/>
          <w:sz w:val="18"/>
          <w:szCs w:val="18"/>
        </w:rPr>
        <w:t>Sungrow-Samsung SDI introduced new energy storage systems at Solar Power International 2016</w:t>
      </w:r>
    </w:p>
    <w:p w14:paraId="177658E5" w14:textId="77777777" w:rsidR="00094EB9" w:rsidRDefault="00094EB9" w:rsidP="00094EB9">
      <w:pPr>
        <w:adjustRightInd w:val="0"/>
        <w:snapToGrid w:val="0"/>
        <w:spacing w:beforeLines="100" w:before="240" w:line="360" w:lineRule="auto"/>
        <w:rPr>
          <w:rFonts w:ascii="Arial" w:hAnsi="Arial" w:cs="Arial"/>
          <w:color w:val="000000" w:themeColor="text1"/>
          <w:sz w:val="18"/>
          <w:szCs w:val="18"/>
        </w:rPr>
      </w:pPr>
      <w:r>
        <w:rPr>
          <w:rFonts w:ascii="Arial" w:hAnsi="Arial" w:cs="Arial"/>
          <w:color w:val="000000" w:themeColor="text1"/>
          <w:sz w:val="18"/>
          <w:szCs w:val="18"/>
        </w:rPr>
        <w:t>Fremont, CA, USA / Sep 14, 2016 – Sungrow-Samsung SDI, a world-class energy storage system supplier, has released new energy storage system solutions at Solar Power International 2016</w:t>
      </w:r>
      <w:r>
        <w:rPr>
          <w:rFonts w:ascii="Arial" w:hAnsi="Arial" w:cs="Arial" w:hint="eastAsia"/>
          <w:color w:val="000000" w:themeColor="text1"/>
          <w:sz w:val="18"/>
          <w:szCs w:val="18"/>
        </w:rPr>
        <w:t>, the largest solar tradeshow in the North America</w:t>
      </w:r>
      <w:r>
        <w:rPr>
          <w:rFonts w:ascii="Arial" w:hAnsi="Arial" w:cs="Arial"/>
          <w:color w:val="000000" w:themeColor="text1"/>
          <w:sz w:val="18"/>
          <w:szCs w:val="18"/>
        </w:rPr>
        <w:t xml:space="preserve"> (Las Vegas, NV; Booth #2059).</w:t>
      </w:r>
    </w:p>
    <w:p w14:paraId="684BA293" w14:textId="77777777" w:rsidR="00094EB9" w:rsidRPr="00A52712" w:rsidRDefault="00094EB9" w:rsidP="00094EB9">
      <w:pPr>
        <w:shd w:val="clear" w:color="auto" w:fill="FFFFFF"/>
        <w:rPr>
          <w:rFonts w:ascii="Arial" w:hAnsi="Arial" w:cs="Arial"/>
          <w:sz w:val="18"/>
          <w:szCs w:val="18"/>
        </w:rPr>
      </w:pPr>
      <w:r>
        <w:rPr>
          <w:rFonts w:ascii="Arial" w:hAnsi="Arial" w:cs="Arial" w:hint="eastAsia"/>
          <w:sz w:val="18"/>
          <w:szCs w:val="18"/>
        </w:rPr>
        <w:t>The system solution integrates,</w:t>
      </w:r>
      <w:r w:rsidRPr="00A52712">
        <w:rPr>
          <w:rFonts w:ascii="Arial" w:hAnsi="Arial" w:cs="Arial" w:hint="eastAsia"/>
          <w:sz w:val="18"/>
          <w:szCs w:val="18"/>
        </w:rPr>
        <w:t xml:space="preserve"> </w:t>
      </w:r>
      <w:r w:rsidRPr="00A52712">
        <w:rPr>
          <w:rFonts w:ascii="Arial" w:hAnsi="Arial" w:cs="Arial"/>
          <w:sz w:val="18"/>
          <w:szCs w:val="18"/>
        </w:rPr>
        <w:t>energy storage inverter</w:t>
      </w:r>
      <w:r>
        <w:rPr>
          <w:rFonts w:ascii="Arial" w:hAnsi="Arial" w:cs="Arial"/>
          <w:sz w:val="18"/>
          <w:szCs w:val="18"/>
        </w:rPr>
        <w:t>s</w:t>
      </w:r>
      <w:r>
        <w:rPr>
          <w:rFonts w:ascii="Arial" w:hAnsi="Arial" w:cs="Arial" w:hint="eastAsia"/>
          <w:sz w:val="18"/>
          <w:szCs w:val="18"/>
        </w:rPr>
        <w:t xml:space="preserve"> and Li-ion batteries and is</w:t>
      </w:r>
      <w:r w:rsidRPr="00A52712">
        <w:rPr>
          <w:rFonts w:ascii="Arial" w:hAnsi="Arial" w:cs="Arial" w:hint="eastAsia"/>
          <w:sz w:val="18"/>
          <w:szCs w:val="18"/>
        </w:rPr>
        <w:t xml:space="preserve"> designed to address system integration problems</w:t>
      </w:r>
      <w:r>
        <w:rPr>
          <w:rFonts w:ascii="Arial" w:hAnsi="Arial" w:cs="Arial"/>
          <w:sz w:val="18"/>
          <w:szCs w:val="18"/>
        </w:rPr>
        <w:t>,</w:t>
      </w:r>
      <w:r w:rsidRPr="00A52712">
        <w:rPr>
          <w:rFonts w:ascii="Arial" w:hAnsi="Arial" w:cs="Arial" w:hint="eastAsia"/>
          <w:sz w:val="18"/>
          <w:szCs w:val="18"/>
        </w:rPr>
        <w:t xml:space="preserve"> especially in the North America market </w:t>
      </w:r>
      <w:r>
        <w:rPr>
          <w:rFonts w:ascii="Arial" w:hAnsi="Arial" w:cs="Arial"/>
          <w:sz w:val="18"/>
          <w:szCs w:val="18"/>
        </w:rPr>
        <w:t xml:space="preserve">and is </w:t>
      </w:r>
      <w:r w:rsidRPr="00A52712">
        <w:rPr>
          <w:rFonts w:ascii="Arial" w:hAnsi="Arial" w:cs="Arial" w:hint="eastAsia"/>
          <w:sz w:val="18"/>
          <w:szCs w:val="18"/>
        </w:rPr>
        <w:t>based on Sungrow</w:t>
      </w:r>
      <w:r w:rsidRPr="00A52712">
        <w:rPr>
          <w:rFonts w:ascii="Arial" w:hAnsi="Arial" w:cs="Arial"/>
          <w:sz w:val="18"/>
          <w:szCs w:val="18"/>
        </w:rPr>
        <w:t>-Samsung SDI’</w:t>
      </w:r>
      <w:r w:rsidRPr="00A52712">
        <w:rPr>
          <w:rFonts w:ascii="Arial" w:hAnsi="Arial" w:cs="Arial" w:hint="eastAsia"/>
          <w:sz w:val="18"/>
          <w:szCs w:val="18"/>
        </w:rPr>
        <w:t xml:space="preserve"> cutting-edge technologies. This integrated syst</w:t>
      </w:r>
      <w:r>
        <w:rPr>
          <w:rFonts w:ascii="Arial" w:hAnsi="Arial" w:cs="Arial" w:hint="eastAsia"/>
          <w:sz w:val="18"/>
          <w:szCs w:val="18"/>
        </w:rPr>
        <w:t>em solution is applicable to commercial energy storage, energy storage</w:t>
      </w:r>
      <w:r w:rsidRPr="00A52712">
        <w:rPr>
          <w:rFonts w:ascii="Arial" w:hAnsi="Arial" w:cs="Arial" w:hint="eastAsia"/>
          <w:sz w:val="18"/>
          <w:szCs w:val="18"/>
        </w:rPr>
        <w:t xml:space="preserve"> power system</w:t>
      </w:r>
      <w:r>
        <w:rPr>
          <w:rFonts w:ascii="Arial" w:hAnsi="Arial" w:cs="Arial"/>
          <w:sz w:val="18"/>
          <w:szCs w:val="18"/>
        </w:rPr>
        <w:t>s</w:t>
      </w:r>
      <w:r w:rsidRPr="00A52712">
        <w:rPr>
          <w:rFonts w:ascii="Arial" w:hAnsi="Arial" w:cs="Arial" w:hint="eastAsia"/>
          <w:sz w:val="18"/>
          <w:szCs w:val="18"/>
        </w:rPr>
        <w:t xml:space="preserve"> and the micro grid. </w:t>
      </w:r>
    </w:p>
    <w:p w14:paraId="41AD2B70" w14:textId="77777777" w:rsidR="00094EB9" w:rsidRPr="00A52712" w:rsidRDefault="00094EB9" w:rsidP="00094EB9">
      <w:pPr>
        <w:shd w:val="clear" w:color="auto" w:fill="FFFFFF"/>
        <w:rPr>
          <w:rFonts w:ascii="Arial" w:hAnsi="Arial" w:cs="Arial"/>
          <w:sz w:val="18"/>
          <w:szCs w:val="18"/>
        </w:rPr>
      </w:pPr>
      <w:r w:rsidRPr="00A52712">
        <w:rPr>
          <w:rFonts w:ascii="Arial" w:hAnsi="Arial" w:cs="Arial" w:hint="eastAsia"/>
          <w:sz w:val="18"/>
          <w:szCs w:val="18"/>
        </w:rPr>
        <w:t>Notably, Sungrow-Samsung SDI showcased its 250kW/500kWh energy storage system which is especially designed for commercial energy storage. It perfectly combines Li-ion batteries and energy storage inverter</w:t>
      </w:r>
      <w:r>
        <w:rPr>
          <w:rFonts w:ascii="Arial" w:hAnsi="Arial" w:cs="Arial"/>
          <w:sz w:val="18"/>
          <w:szCs w:val="18"/>
        </w:rPr>
        <w:t>s</w:t>
      </w:r>
      <w:r w:rsidRPr="00A52712">
        <w:rPr>
          <w:rFonts w:ascii="Arial" w:hAnsi="Arial" w:cs="Arial" w:hint="eastAsia"/>
          <w:sz w:val="18"/>
          <w:szCs w:val="18"/>
        </w:rPr>
        <w:t xml:space="preserve">, effectively solving </w:t>
      </w:r>
      <w:r>
        <w:rPr>
          <w:rFonts w:ascii="Arial" w:hAnsi="Arial" w:cs="Arial"/>
          <w:sz w:val="18"/>
          <w:szCs w:val="18"/>
        </w:rPr>
        <w:t xml:space="preserve">a number of </w:t>
      </w:r>
      <w:r w:rsidRPr="00A52712">
        <w:rPr>
          <w:rFonts w:ascii="Arial" w:hAnsi="Arial" w:cs="Arial" w:hint="eastAsia"/>
          <w:sz w:val="18"/>
          <w:szCs w:val="18"/>
        </w:rPr>
        <w:t xml:space="preserve">problems including communication, battery pack design, battery protection and equipment layout thanks to its high system efficiency and compact design. The SC250KU </w:t>
      </w:r>
      <w:r>
        <w:rPr>
          <w:rFonts w:ascii="Arial" w:hAnsi="Arial" w:cs="Arial" w:hint="eastAsia"/>
          <w:sz w:val="18"/>
          <w:szCs w:val="18"/>
        </w:rPr>
        <w:t>inverter</w:t>
      </w:r>
      <w:r w:rsidRPr="00A52712">
        <w:rPr>
          <w:rFonts w:ascii="Arial" w:hAnsi="Arial" w:cs="Arial" w:hint="eastAsia"/>
          <w:sz w:val="18"/>
          <w:szCs w:val="18"/>
        </w:rPr>
        <w:t xml:space="preserve"> employed in this energy storage system</w:t>
      </w:r>
      <w:r>
        <w:rPr>
          <w:rFonts w:ascii="Arial" w:hAnsi="Arial" w:cs="Arial"/>
          <w:sz w:val="18"/>
          <w:szCs w:val="18"/>
        </w:rPr>
        <w:t>,</w:t>
      </w:r>
      <w:r w:rsidRPr="00A52712">
        <w:rPr>
          <w:rFonts w:ascii="Arial" w:hAnsi="Arial" w:cs="Arial" w:hint="eastAsia"/>
          <w:sz w:val="18"/>
          <w:szCs w:val="18"/>
        </w:rPr>
        <w:t xml:space="preserve"> is best characterized by its high power density, high efficiency and wide voltage range</w:t>
      </w:r>
      <w:r>
        <w:rPr>
          <w:rFonts w:ascii="Arial" w:hAnsi="Arial" w:cs="Arial"/>
          <w:sz w:val="18"/>
          <w:szCs w:val="18"/>
        </w:rPr>
        <w:t>,</w:t>
      </w:r>
      <w:r w:rsidRPr="00A52712">
        <w:rPr>
          <w:rFonts w:ascii="Arial" w:hAnsi="Arial" w:cs="Arial" w:hint="eastAsia"/>
          <w:sz w:val="18"/>
          <w:szCs w:val="18"/>
        </w:rPr>
        <w:t xml:space="preserve"> as well as the virtual synchronous generator. Furthermore, the Li-ion batteries deployed in the 250kW/500kWh system can charge and discharge up to 6,000 times with multiple protection functions and high power density. The Li-ion b</w:t>
      </w:r>
      <w:r>
        <w:rPr>
          <w:rFonts w:ascii="Arial" w:hAnsi="Arial" w:cs="Arial" w:hint="eastAsia"/>
          <w:sz w:val="18"/>
          <w:szCs w:val="18"/>
        </w:rPr>
        <w:t>atteries also have</w:t>
      </w:r>
      <w:r w:rsidRPr="00A52712">
        <w:rPr>
          <w:rFonts w:ascii="Arial" w:hAnsi="Arial" w:cs="Arial" w:hint="eastAsia"/>
          <w:sz w:val="18"/>
          <w:szCs w:val="18"/>
        </w:rPr>
        <w:t xml:space="preserve"> international certifications such as UN38, VDE, CE, UL and JET, and are capable of being used in various applications.</w:t>
      </w:r>
    </w:p>
    <w:p w14:paraId="59D1C7C6" w14:textId="77777777" w:rsidR="00094EB9" w:rsidRDefault="00094EB9" w:rsidP="00094EB9">
      <w:pPr>
        <w:shd w:val="clear" w:color="auto" w:fill="FFFFFF"/>
        <w:rPr>
          <w:rFonts w:ascii="Arial" w:hAnsi="Arial" w:cs="Arial"/>
          <w:color w:val="000000" w:themeColor="text1"/>
          <w:sz w:val="18"/>
          <w:szCs w:val="18"/>
        </w:rPr>
      </w:pPr>
      <w:r>
        <w:rPr>
          <w:rFonts w:ascii="Arial" w:hAnsi="Arial" w:cs="Arial"/>
          <w:color w:val="000000" w:themeColor="text1"/>
          <w:sz w:val="18"/>
          <w:szCs w:val="18"/>
        </w:rPr>
        <w:t xml:space="preserve">During SPI, </w:t>
      </w:r>
      <w:r>
        <w:rPr>
          <w:rFonts w:ascii="Arial" w:hAnsi="Arial" w:cs="Arial" w:hint="eastAsia"/>
          <w:color w:val="000000" w:themeColor="text1"/>
          <w:sz w:val="18"/>
          <w:szCs w:val="18"/>
        </w:rPr>
        <w:t xml:space="preserve">Sungrow-Samsung SDI won the contract to supply energy storage systems to a 5MW/20MWh project located in the south </w:t>
      </w:r>
      <w:r>
        <w:rPr>
          <w:rFonts w:ascii="Arial" w:hAnsi="Arial" w:cs="Arial"/>
          <w:color w:val="000000" w:themeColor="text1"/>
          <w:sz w:val="18"/>
          <w:szCs w:val="18"/>
        </w:rPr>
        <w:t xml:space="preserve">of </w:t>
      </w:r>
      <w:r>
        <w:rPr>
          <w:rFonts w:ascii="Arial" w:hAnsi="Arial" w:cs="Arial" w:hint="eastAsia"/>
          <w:color w:val="000000" w:themeColor="text1"/>
          <w:sz w:val="18"/>
          <w:szCs w:val="18"/>
        </w:rPr>
        <w:t xml:space="preserve">California. </w:t>
      </w:r>
      <w:r>
        <w:rPr>
          <w:rFonts w:ascii="Arial" w:hAnsi="Arial" w:cs="Arial"/>
          <w:color w:val="000000" w:themeColor="text1"/>
          <w:sz w:val="18"/>
          <w:szCs w:val="18"/>
        </w:rPr>
        <w:t>“</w:t>
      </w:r>
      <w:r>
        <w:rPr>
          <w:rFonts w:ascii="Arial" w:hAnsi="Arial" w:cs="Arial" w:hint="eastAsia"/>
          <w:color w:val="000000" w:themeColor="text1"/>
          <w:sz w:val="18"/>
          <w:szCs w:val="18"/>
        </w:rPr>
        <w:t>Energy storage is expected to be promising and play a pivotal role in boosting sustainable development of global renewable industry. Sungrow-Samsung SDI is always committed to technical innovation. We believe that the new products and solutions can better meet demands of the North America.</w:t>
      </w:r>
      <w:r>
        <w:rPr>
          <w:rFonts w:ascii="Arial" w:hAnsi="Arial" w:cs="Arial"/>
          <w:color w:val="000000" w:themeColor="text1"/>
          <w:sz w:val="18"/>
          <w:szCs w:val="18"/>
        </w:rPr>
        <w:t>”</w:t>
      </w:r>
      <w:r>
        <w:rPr>
          <w:rFonts w:ascii="Arial" w:hAnsi="Arial" w:cs="Arial" w:hint="eastAsia"/>
          <w:color w:val="000000" w:themeColor="text1"/>
          <w:sz w:val="18"/>
          <w:szCs w:val="18"/>
        </w:rPr>
        <w:t xml:space="preserve"> </w:t>
      </w:r>
      <w:r>
        <w:rPr>
          <w:rFonts w:ascii="Arial" w:hAnsi="Arial" w:cs="Arial"/>
          <w:color w:val="000000" w:themeColor="text1"/>
          <w:sz w:val="18"/>
          <w:szCs w:val="18"/>
        </w:rPr>
        <w:t>sa</w:t>
      </w:r>
      <w:r>
        <w:rPr>
          <w:rFonts w:ascii="Arial" w:hAnsi="Arial" w:cs="Arial" w:hint="eastAsia"/>
          <w:color w:val="000000" w:themeColor="text1"/>
          <w:sz w:val="18"/>
          <w:szCs w:val="18"/>
        </w:rPr>
        <w:t>id Jiamao Wu, general manager of Sungrow-Samsung SDI.</w:t>
      </w:r>
    </w:p>
    <w:p w14:paraId="245332E7" w14:textId="77777777" w:rsidR="00094EB9" w:rsidRDefault="00094EB9" w:rsidP="00094EB9">
      <w:pPr>
        <w:shd w:val="clear" w:color="auto" w:fill="FFFFFF"/>
        <w:rPr>
          <w:rFonts w:ascii="Arial" w:eastAsia="微软雅黑" w:hAnsi="Arial" w:cs="Arial"/>
          <w:sz w:val="18"/>
          <w:szCs w:val="18"/>
        </w:rPr>
      </w:pPr>
    </w:p>
    <w:p w14:paraId="029BBD74" w14:textId="42A54B4F" w:rsidR="00094EB9" w:rsidRPr="00094EB9" w:rsidRDefault="00094EB9" w:rsidP="00094EB9">
      <w:pPr>
        <w:shd w:val="clear" w:color="auto" w:fill="FFFFFF"/>
        <w:rPr>
          <w:rFonts w:ascii="Arial" w:hAnsi="Arial" w:cs="Arial"/>
          <w:b/>
          <w:color w:val="000000" w:themeColor="text1"/>
          <w:sz w:val="18"/>
          <w:szCs w:val="18"/>
        </w:rPr>
      </w:pPr>
      <w:r>
        <w:rPr>
          <w:rFonts w:ascii="Arial" w:hAnsi="Arial" w:cs="Arial"/>
          <w:b/>
          <w:color w:val="000000" w:themeColor="text1"/>
          <w:sz w:val="18"/>
          <w:szCs w:val="18"/>
        </w:rPr>
        <w:t>About Sungrow-Samsung SDI</w:t>
      </w:r>
      <w:r>
        <w:rPr>
          <w:rFonts w:ascii="Arial" w:hAnsi="Arial" w:cs="Arial"/>
          <w:b/>
          <w:color w:val="000000" w:themeColor="text1"/>
          <w:sz w:val="18"/>
          <w:szCs w:val="18"/>
        </w:rPr>
        <w:br/>
      </w:r>
      <w:r>
        <w:rPr>
          <w:rFonts w:ascii="Arial" w:hAnsi="Arial" w:cs="Arial"/>
          <w:color w:val="000000" w:themeColor="text1"/>
          <w:sz w:val="18"/>
          <w:szCs w:val="18"/>
        </w:rPr>
        <w:t>Sungrow-Samsung SDI Energy Storage Power Supply Co., Ltd. is a joint venture between Sungrow Power Supply Co., Ltd. and Samsung SDI Co., Ltd. This unique combination combines cutting-edge renewable energy power conversion technology from Sungrow with class-leading battery technology from Samsung SDI. Committed towards the development and manufacturing of integrated energy storage system solutions, core components such as energy storage inverters, and Samsung’s SDI li-ion battery bank, Sungrow-Samsung SDI provides turnkey energy storage system solutions</w:t>
      </w:r>
      <w:r>
        <w:rPr>
          <w:rFonts w:ascii="Arial" w:hAnsi="Arial" w:cs="Arial" w:hint="eastAsia"/>
          <w:color w:val="000000" w:themeColor="text1"/>
          <w:sz w:val="18"/>
          <w:szCs w:val="18"/>
        </w:rPr>
        <w:t xml:space="preserve"> </w:t>
      </w:r>
      <w:r>
        <w:rPr>
          <w:rFonts w:ascii="Arial" w:hAnsi="Arial" w:cs="Arial"/>
          <w:color w:val="000000" w:themeColor="text1"/>
          <w:sz w:val="18"/>
          <w:szCs w:val="18"/>
        </w:rPr>
        <w:t>with an annual production of 2 GWh for li-ion batteries and 3 GW for energy storage inverters, Currently, a variety of commercial and demonstration projects of</w:t>
      </w:r>
      <w:r>
        <w:rPr>
          <w:rFonts w:ascii="Arial" w:hAnsi="Arial" w:cs="Arial" w:hint="eastAsia"/>
          <w:color w:val="000000" w:themeColor="text1"/>
          <w:sz w:val="18"/>
          <w:szCs w:val="18"/>
        </w:rPr>
        <w:t xml:space="preserve"> </w:t>
      </w:r>
      <w:r>
        <w:rPr>
          <w:rFonts w:ascii="Arial" w:hAnsi="Arial" w:cs="Arial"/>
          <w:color w:val="000000" w:themeColor="text1"/>
          <w:sz w:val="18"/>
          <w:szCs w:val="18"/>
        </w:rPr>
        <w:t>Sungrow-Samsung SDI</w:t>
      </w:r>
      <w:r>
        <w:rPr>
          <w:rFonts w:ascii="Arial" w:hAnsi="Arial" w:cs="Arial" w:hint="eastAsia"/>
          <w:color w:val="000000" w:themeColor="text1"/>
          <w:sz w:val="18"/>
          <w:szCs w:val="18"/>
        </w:rPr>
        <w:t xml:space="preserve"> </w:t>
      </w:r>
      <w:r>
        <w:rPr>
          <w:rFonts w:ascii="Arial" w:hAnsi="Arial" w:cs="Arial"/>
          <w:color w:val="000000" w:themeColor="text1"/>
          <w:sz w:val="18"/>
          <w:szCs w:val="18"/>
        </w:rPr>
        <w:t>are located in Britain, Australia, Germany, India, Maldives, South Sudan, Nigeria, Tsochen Tibet, Zhiduo Qinghai, etc. A total installed capacity of 600+MWh is spread across 300+different domestic and foreign projects.</w:t>
      </w:r>
    </w:p>
    <w:p w14:paraId="43B8D1BE" w14:textId="6E6BD249" w:rsidR="00094EB9" w:rsidRPr="00094EB9" w:rsidRDefault="00094EB9" w:rsidP="00094EB9">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About Sungrow</w:t>
      </w:r>
      <w:r>
        <w:rPr>
          <w:rFonts w:ascii="Arial" w:hAnsi="Arial" w:cs="Arial"/>
          <w:b/>
          <w:color w:val="222222"/>
          <w:sz w:val="18"/>
          <w:szCs w:val="18"/>
          <w:shd w:val="clear" w:color="auto" w:fill="FFFFFF"/>
        </w:rPr>
        <w:br/>
      </w:r>
      <w:r>
        <w:rPr>
          <w:rFonts w:ascii="Arial" w:hAnsi="Arial" w:cs="Arial"/>
          <w:color w:val="222222"/>
          <w:sz w:val="18"/>
          <w:szCs w:val="18"/>
          <w:shd w:val="clear" w:color="auto" w:fill="FFFFFF"/>
        </w:rPr>
        <w:t xml:space="preserve">Sungrow is the world’s leading PV-inverter manufacturer with over 26GW installed globally. Founded in 1997 by the University Professor Renxian Cao, Sungrow is the global leader in research and development in solar inverters, with numerous patents and a broad product portfolio offering solutions for residential, commercial and industrial applications. With a 20-year track record of growth and success, Sungrow’s products are available in over 50 countries, and have maintained a market share of over 30% in China. In 2015, Sungrow successfully occupied a over 20% market share in Germany. Sungrow topped the world with PV inverter shipments in 2015 totaling 8.9GW.To learn more about Sungrow, please visit </w:t>
      </w:r>
      <w:hyperlink r:id="rId6" w:history="1">
        <w:r>
          <w:rPr>
            <w:rStyle w:val="Hyperlink"/>
            <w:rFonts w:ascii="Arial" w:hAnsi="Arial" w:cs="Arial"/>
            <w:sz w:val="18"/>
            <w:szCs w:val="18"/>
            <w:shd w:val="clear" w:color="auto" w:fill="FFFFFF"/>
          </w:rPr>
          <w:t>http://sungrowpower.com/</w:t>
        </w:r>
      </w:hyperlink>
    </w:p>
    <w:p w14:paraId="66A9BE78" w14:textId="77777777" w:rsidR="00C361E3" w:rsidRPr="00AC5166" w:rsidRDefault="00C361E3" w:rsidP="004E25AC">
      <w:pPr>
        <w:spacing w:after="0" w:line="240" w:lineRule="auto"/>
        <w:jc w:val="center"/>
        <w:rPr>
          <w:rFonts w:ascii="Arial" w:hAnsi="Arial" w:cs="Arial"/>
          <w:sz w:val="20"/>
          <w:szCs w:val="20"/>
        </w:rPr>
      </w:pPr>
    </w:p>
    <w:sectPr w:rsidR="00C361E3" w:rsidRPr="00AC51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54A3B" w14:textId="77777777" w:rsidR="00A66781" w:rsidRDefault="00A66781" w:rsidP="00000562">
      <w:pPr>
        <w:spacing w:after="0" w:line="240" w:lineRule="auto"/>
      </w:pPr>
      <w:r>
        <w:separator/>
      </w:r>
    </w:p>
  </w:endnote>
  <w:endnote w:type="continuationSeparator" w:id="0">
    <w:p w14:paraId="3EFC5DE1" w14:textId="77777777" w:rsidR="00A66781" w:rsidRDefault="00A66781" w:rsidP="0000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微软雅黑">
    <w:charset w:val="86"/>
    <w:family w:val="auto"/>
    <w:pitch w:val="variable"/>
    <w:sig w:usb0="80000287" w:usb1="28CF3C52" w:usb2="00000016" w:usb3="00000000" w:csb0="0004001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D66C" w14:textId="77777777" w:rsidR="00A66781" w:rsidRDefault="00A66781" w:rsidP="00000562">
      <w:pPr>
        <w:spacing w:after="0" w:line="240" w:lineRule="auto"/>
      </w:pPr>
      <w:r>
        <w:separator/>
      </w:r>
    </w:p>
  </w:footnote>
  <w:footnote w:type="continuationSeparator" w:id="0">
    <w:p w14:paraId="1E7A5B45" w14:textId="77777777" w:rsidR="00A66781" w:rsidRDefault="00A66781" w:rsidP="000005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FF73" w14:textId="77777777" w:rsidR="00563F00" w:rsidRPr="00000562" w:rsidRDefault="00563F00" w:rsidP="00000562">
    <w:pPr>
      <w:rPr>
        <w:rFonts w:ascii="Arial" w:hAnsi="Arial" w:cs="Arial"/>
        <w:i/>
        <w:color w:val="FF0000"/>
        <w:sz w:val="20"/>
        <w:szCs w:val="20"/>
      </w:rPr>
    </w:pPr>
    <w:r w:rsidRPr="00000562">
      <w:rPr>
        <w:rFonts w:ascii="Arial" w:hAnsi="Arial" w:cs="Arial"/>
        <w:i/>
        <w:color w:val="FF0000"/>
        <w:sz w:val="20"/>
        <w:szCs w:val="20"/>
      </w:rPr>
      <w:t>For immediate release</w:t>
    </w:r>
    <w:r>
      <w:rPr>
        <w:noProof/>
        <w:lang w:eastAsia="en-GB"/>
      </w:rPr>
      <w:ptab w:relativeTo="margin" w:alignment="right" w:leader="none"/>
    </w:r>
    <w:r>
      <w:rPr>
        <w:noProof/>
        <w:lang w:val="en-US"/>
      </w:rPr>
      <w:drawing>
        <wp:inline distT="0" distB="0" distL="0" distR="0" wp14:anchorId="69568ED0" wp14:editId="38B1B69A">
          <wp:extent cx="1495425" cy="647700"/>
          <wp:effectExtent l="0" t="0" r="9525" b="0"/>
          <wp:docPr id="2" name="Picture 2" descr="Image result for sungrow power supp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grow power suppl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a:ln>
                    <a:noFill/>
                  </a:ln>
                </pic:spPr>
              </pic:pic>
            </a:graphicData>
          </a:graphic>
        </wp:inline>
      </w:drawing>
    </w:r>
  </w:p>
  <w:p w14:paraId="100BC189" w14:textId="77777777" w:rsidR="00563F00" w:rsidRDefault="00563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5B"/>
    <w:rsid w:val="00000562"/>
    <w:rsid w:val="0001779D"/>
    <w:rsid w:val="00033E38"/>
    <w:rsid w:val="00042F85"/>
    <w:rsid w:val="000738E3"/>
    <w:rsid w:val="00076F4A"/>
    <w:rsid w:val="00080848"/>
    <w:rsid w:val="00087C9A"/>
    <w:rsid w:val="00094EB9"/>
    <w:rsid w:val="000A39E1"/>
    <w:rsid w:val="001B63A2"/>
    <w:rsid w:val="001D7924"/>
    <w:rsid w:val="00206C6A"/>
    <w:rsid w:val="0021594C"/>
    <w:rsid w:val="002175D9"/>
    <w:rsid w:val="002740ED"/>
    <w:rsid w:val="00280D7D"/>
    <w:rsid w:val="002C4F44"/>
    <w:rsid w:val="00327F33"/>
    <w:rsid w:val="00345D63"/>
    <w:rsid w:val="00352C88"/>
    <w:rsid w:val="00353E1A"/>
    <w:rsid w:val="00374B04"/>
    <w:rsid w:val="003C3EE0"/>
    <w:rsid w:val="003D29EF"/>
    <w:rsid w:val="00405ED1"/>
    <w:rsid w:val="00464606"/>
    <w:rsid w:val="004B5F53"/>
    <w:rsid w:val="004E25AC"/>
    <w:rsid w:val="00563F00"/>
    <w:rsid w:val="005A686A"/>
    <w:rsid w:val="005C6882"/>
    <w:rsid w:val="005E5417"/>
    <w:rsid w:val="00664D98"/>
    <w:rsid w:val="006724D8"/>
    <w:rsid w:val="00693CCC"/>
    <w:rsid w:val="006E3301"/>
    <w:rsid w:val="006E49AD"/>
    <w:rsid w:val="006E4C96"/>
    <w:rsid w:val="0070215B"/>
    <w:rsid w:val="0071605A"/>
    <w:rsid w:val="00731FEE"/>
    <w:rsid w:val="00776D58"/>
    <w:rsid w:val="00794872"/>
    <w:rsid w:val="007B20E5"/>
    <w:rsid w:val="007F1933"/>
    <w:rsid w:val="00891613"/>
    <w:rsid w:val="008A6D0D"/>
    <w:rsid w:val="008F363D"/>
    <w:rsid w:val="00982762"/>
    <w:rsid w:val="009A4867"/>
    <w:rsid w:val="009D3880"/>
    <w:rsid w:val="00A64C15"/>
    <w:rsid w:val="00A66781"/>
    <w:rsid w:val="00A9268D"/>
    <w:rsid w:val="00AC5166"/>
    <w:rsid w:val="00AE073D"/>
    <w:rsid w:val="00B141D4"/>
    <w:rsid w:val="00B337CB"/>
    <w:rsid w:val="00B40F5E"/>
    <w:rsid w:val="00C25E34"/>
    <w:rsid w:val="00C34055"/>
    <w:rsid w:val="00C361E3"/>
    <w:rsid w:val="00C66D7D"/>
    <w:rsid w:val="00C73CC3"/>
    <w:rsid w:val="00C82BDC"/>
    <w:rsid w:val="00CB449F"/>
    <w:rsid w:val="00CD7E42"/>
    <w:rsid w:val="00CE0FA4"/>
    <w:rsid w:val="00D179F0"/>
    <w:rsid w:val="00D3542D"/>
    <w:rsid w:val="00D45B98"/>
    <w:rsid w:val="00D767E4"/>
    <w:rsid w:val="00DC1222"/>
    <w:rsid w:val="00ED00D7"/>
    <w:rsid w:val="00F0359B"/>
    <w:rsid w:val="00F278CF"/>
    <w:rsid w:val="00F473A6"/>
    <w:rsid w:val="00FB5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3C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15B"/>
    <w:rPr>
      <w:color w:val="0000FF"/>
      <w:u w:val="single"/>
    </w:rPr>
  </w:style>
  <w:style w:type="paragraph" w:styleId="Header">
    <w:name w:val="header"/>
    <w:basedOn w:val="Normal"/>
    <w:link w:val="HeaderChar"/>
    <w:uiPriority w:val="99"/>
    <w:unhideWhenUsed/>
    <w:rsid w:val="0000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62"/>
  </w:style>
  <w:style w:type="paragraph" w:styleId="Footer">
    <w:name w:val="footer"/>
    <w:basedOn w:val="Normal"/>
    <w:link w:val="FooterChar"/>
    <w:uiPriority w:val="99"/>
    <w:unhideWhenUsed/>
    <w:rsid w:val="0000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62"/>
  </w:style>
  <w:style w:type="paragraph" w:styleId="BalloonText">
    <w:name w:val="Balloon Text"/>
    <w:basedOn w:val="Normal"/>
    <w:link w:val="BalloonTextChar"/>
    <w:uiPriority w:val="99"/>
    <w:semiHidden/>
    <w:unhideWhenUsed/>
    <w:rsid w:val="00F0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B"/>
    <w:rPr>
      <w:rFonts w:ascii="Tahoma" w:hAnsi="Tahoma" w:cs="Tahoma"/>
      <w:sz w:val="16"/>
      <w:szCs w:val="16"/>
    </w:rPr>
  </w:style>
  <w:style w:type="character" w:styleId="CommentReference">
    <w:name w:val="annotation reference"/>
    <w:basedOn w:val="DefaultParagraphFont"/>
    <w:uiPriority w:val="99"/>
    <w:semiHidden/>
    <w:unhideWhenUsed/>
    <w:rsid w:val="0021594C"/>
    <w:rPr>
      <w:sz w:val="16"/>
      <w:szCs w:val="16"/>
    </w:rPr>
  </w:style>
  <w:style w:type="paragraph" w:styleId="CommentText">
    <w:name w:val="annotation text"/>
    <w:basedOn w:val="Normal"/>
    <w:link w:val="CommentTextChar"/>
    <w:uiPriority w:val="99"/>
    <w:semiHidden/>
    <w:unhideWhenUsed/>
    <w:rsid w:val="0021594C"/>
    <w:pPr>
      <w:widowControl w:val="0"/>
      <w:spacing w:after="0" w:line="240" w:lineRule="auto"/>
      <w:jc w:val="both"/>
    </w:pPr>
    <w:rPr>
      <w:rFonts w:eastAsiaTheme="minorEastAsia"/>
      <w:kern w:val="2"/>
      <w:sz w:val="20"/>
      <w:szCs w:val="20"/>
      <w:lang w:val="en-US" w:eastAsia="zh-CN"/>
    </w:rPr>
  </w:style>
  <w:style w:type="character" w:customStyle="1" w:styleId="CommentTextChar">
    <w:name w:val="Comment Text Char"/>
    <w:basedOn w:val="DefaultParagraphFont"/>
    <w:link w:val="CommentText"/>
    <w:uiPriority w:val="99"/>
    <w:semiHidden/>
    <w:rsid w:val="0021594C"/>
    <w:rPr>
      <w:rFonts w:eastAsiaTheme="minorEastAsia"/>
      <w:kern w:val="2"/>
      <w:sz w:val="20"/>
      <w:szCs w:val="20"/>
      <w:lang w:val="en-US" w:eastAsia="zh-CN"/>
    </w:rPr>
  </w:style>
  <w:style w:type="paragraph" w:styleId="NoSpacing">
    <w:name w:val="No Spacing"/>
    <w:uiPriority w:val="1"/>
    <w:qFormat/>
    <w:rsid w:val="00C361E3"/>
    <w:pPr>
      <w:spacing w:after="0" w:line="240" w:lineRule="auto"/>
    </w:pPr>
  </w:style>
  <w:style w:type="paragraph" w:styleId="NormalWeb">
    <w:name w:val="Normal (Web)"/>
    <w:basedOn w:val="Normal"/>
    <w:uiPriority w:val="99"/>
    <w:unhideWhenUsed/>
    <w:rsid w:val="001D7924"/>
    <w:pPr>
      <w:spacing w:after="225"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1D7924"/>
    <w:rPr>
      <w:b/>
      <w:bCs/>
      <w:color w:val="000000"/>
    </w:rPr>
  </w:style>
  <w:style w:type="character" w:customStyle="1" w:styleId="apple-converted-space">
    <w:name w:val="apple-converted-space"/>
    <w:basedOn w:val="DefaultParagraphFont"/>
    <w:rsid w:val="002C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6138">
      <w:bodyDiv w:val="1"/>
      <w:marLeft w:val="0"/>
      <w:marRight w:val="0"/>
      <w:marTop w:val="0"/>
      <w:marBottom w:val="0"/>
      <w:divBdr>
        <w:top w:val="none" w:sz="0" w:space="0" w:color="auto"/>
        <w:left w:val="none" w:sz="0" w:space="0" w:color="auto"/>
        <w:bottom w:val="none" w:sz="0" w:space="0" w:color="auto"/>
        <w:right w:val="none" w:sz="0" w:space="0" w:color="auto"/>
      </w:divBdr>
      <w:divsChild>
        <w:div w:id="556087033">
          <w:marLeft w:val="0"/>
          <w:marRight w:val="0"/>
          <w:marTop w:val="0"/>
          <w:marBottom w:val="0"/>
          <w:divBdr>
            <w:top w:val="none" w:sz="0" w:space="0" w:color="auto"/>
            <w:left w:val="none" w:sz="0" w:space="0" w:color="auto"/>
            <w:bottom w:val="none" w:sz="0" w:space="0" w:color="auto"/>
            <w:right w:val="none" w:sz="0" w:space="0" w:color="auto"/>
          </w:divBdr>
          <w:divsChild>
            <w:div w:id="6680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87531">
      <w:bodyDiv w:val="1"/>
      <w:marLeft w:val="0"/>
      <w:marRight w:val="0"/>
      <w:marTop w:val="0"/>
      <w:marBottom w:val="0"/>
      <w:divBdr>
        <w:top w:val="none" w:sz="0" w:space="0" w:color="auto"/>
        <w:left w:val="none" w:sz="0" w:space="0" w:color="auto"/>
        <w:bottom w:val="none" w:sz="0" w:space="0" w:color="auto"/>
        <w:right w:val="none" w:sz="0" w:space="0" w:color="auto"/>
      </w:divBdr>
    </w:div>
    <w:div w:id="1382827934">
      <w:bodyDiv w:val="1"/>
      <w:marLeft w:val="0"/>
      <w:marRight w:val="0"/>
      <w:marTop w:val="0"/>
      <w:marBottom w:val="0"/>
      <w:divBdr>
        <w:top w:val="none" w:sz="0" w:space="0" w:color="auto"/>
        <w:left w:val="none" w:sz="0" w:space="0" w:color="auto"/>
        <w:bottom w:val="none" w:sz="0" w:space="0" w:color="auto"/>
        <w:right w:val="none" w:sz="0" w:space="0" w:color="auto"/>
      </w:divBdr>
    </w:div>
    <w:div w:id="1581400877">
      <w:bodyDiv w:val="1"/>
      <w:marLeft w:val="0"/>
      <w:marRight w:val="0"/>
      <w:marTop w:val="0"/>
      <w:marBottom w:val="0"/>
      <w:divBdr>
        <w:top w:val="none" w:sz="0" w:space="0" w:color="auto"/>
        <w:left w:val="none" w:sz="0" w:space="0" w:color="auto"/>
        <w:bottom w:val="none" w:sz="0" w:space="0" w:color="auto"/>
        <w:right w:val="none" w:sz="0" w:space="0" w:color="auto"/>
      </w:divBdr>
      <w:divsChild>
        <w:div w:id="577441394">
          <w:marLeft w:val="200"/>
          <w:marRight w:val="0"/>
          <w:marTop w:val="0"/>
          <w:marBottom w:val="0"/>
          <w:divBdr>
            <w:top w:val="none" w:sz="0" w:space="0" w:color="auto"/>
            <w:left w:val="none" w:sz="0" w:space="0" w:color="auto"/>
            <w:bottom w:val="none" w:sz="0" w:space="0" w:color="auto"/>
            <w:right w:val="none" w:sz="0" w:space="0" w:color="auto"/>
          </w:divBdr>
        </w:div>
        <w:div w:id="1409303913">
          <w:marLeft w:val="200"/>
          <w:marRight w:val="0"/>
          <w:marTop w:val="0"/>
          <w:marBottom w:val="0"/>
          <w:divBdr>
            <w:top w:val="none" w:sz="0" w:space="0" w:color="auto"/>
            <w:left w:val="none" w:sz="0" w:space="0" w:color="auto"/>
            <w:bottom w:val="none" w:sz="0" w:space="0" w:color="auto"/>
            <w:right w:val="none" w:sz="0" w:space="0" w:color="auto"/>
          </w:divBdr>
          <w:divsChild>
            <w:div w:id="805975870">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ungrowpower.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Priscilla Moroke</cp:lastModifiedBy>
  <cp:revision>2</cp:revision>
  <dcterms:created xsi:type="dcterms:W3CDTF">2016-09-16T13:02:00Z</dcterms:created>
  <dcterms:modified xsi:type="dcterms:W3CDTF">2016-09-16T13:02:00Z</dcterms:modified>
</cp:coreProperties>
</file>