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Borders>
          <w:bottom w:val="single" w:sz="2" w:space="0" w:color="auto"/>
        </w:tblBorders>
        <w:tblLayout w:type="fixed"/>
        <w:tblCellMar>
          <w:left w:w="0" w:type="dxa"/>
          <w:right w:w="0" w:type="dxa"/>
        </w:tblCellMar>
        <w:tblLook w:val="0000" w:firstRow="0" w:lastRow="0" w:firstColumn="0" w:lastColumn="0" w:noHBand="0" w:noVBand="0"/>
      </w:tblPr>
      <w:tblGrid>
        <w:gridCol w:w="6521"/>
        <w:gridCol w:w="1701"/>
        <w:gridCol w:w="1418"/>
      </w:tblGrid>
      <w:tr w:rsidR="00F6131F" w14:paraId="0B8FA9B4" w14:textId="77777777">
        <w:trPr>
          <w:cantSplit/>
          <w:trHeight w:hRule="exact" w:val="1077"/>
        </w:trPr>
        <w:tc>
          <w:tcPr>
            <w:tcW w:w="6521" w:type="dxa"/>
          </w:tcPr>
          <w:p w14:paraId="3E8D665E" w14:textId="77777777" w:rsidR="00F6131F" w:rsidRDefault="008415EF">
            <w:pPr>
              <w:pStyle w:val="SiemensLogo"/>
            </w:pPr>
            <w:bookmarkStart w:id="0" w:name="scf_marke"/>
            <w:bookmarkStart w:id="1" w:name="_GoBack"/>
            <w:bookmarkEnd w:id="1"/>
            <w:r>
              <w:rPr>
                <w:lang w:eastAsia="en-US"/>
              </w:rPr>
              <w:drawing>
                <wp:inline distT="0" distB="0" distL="0" distR="0" wp14:anchorId="0E51A4ED" wp14:editId="6D30C67A">
                  <wp:extent cx="1438275" cy="228600"/>
                  <wp:effectExtent l="19050" t="0" r="9525" b="0"/>
                  <wp:docPr id="1" name="Bild 1" descr="sie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_logo_black_rgb"/>
                          <pic:cNvPicPr>
                            <a:picLocks noChangeAspect="1" noChangeArrowheads="1"/>
                          </pic:cNvPicPr>
                        </pic:nvPicPr>
                        <pic:blipFill>
                          <a:blip r:embed="rId7" cstate="print"/>
                          <a:srcRect/>
                          <a:stretch>
                            <a:fillRect/>
                          </a:stretch>
                        </pic:blipFill>
                        <pic:spPr bwMode="auto">
                          <a:xfrm>
                            <a:off x="0" y="0"/>
                            <a:ext cx="1438275" cy="228600"/>
                          </a:xfrm>
                          <a:prstGeom prst="rect">
                            <a:avLst/>
                          </a:prstGeom>
                          <a:noFill/>
                          <a:ln w="9525">
                            <a:noFill/>
                            <a:miter lim="800000"/>
                            <a:headEnd/>
                            <a:tailEnd/>
                          </a:ln>
                        </pic:spPr>
                      </pic:pic>
                    </a:graphicData>
                  </a:graphic>
                </wp:inline>
              </w:drawing>
            </w:r>
            <w:bookmarkEnd w:id="0"/>
          </w:p>
        </w:tc>
        <w:tc>
          <w:tcPr>
            <w:tcW w:w="3119" w:type="dxa"/>
            <w:gridSpan w:val="2"/>
            <w:vMerge w:val="restart"/>
            <w:tcBorders>
              <w:bottom w:val="nil"/>
            </w:tcBorders>
            <w:vAlign w:val="bottom"/>
          </w:tcPr>
          <w:p w14:paraId="519CE87B" w14:textId="77777777" w:rsidR="00F6131F" w:rsidRDefault="008415EF">
            <w:pPr>
              <w:pStyle w:val="PressSign"/>
            </w:pPr>
            <w:r>
              <w:t>Press</w:t>
            </w:r>
          </w:p>
        </w:tc>
      </w:tr>
      <w:tr w:rsidR="00F6131F" w14:paraId="737F0258" w14:textId="77777777">
        <w:trPr>
          <w:cantSplit/>
          <w:trHeight w:hRule="exact" w:val="397"/>
        </w:trPr>
        <w:tc>
          <w:tcPr>
            <w:tcW w:w="6521" w:type="dxa"/>
            <w:tcBorders>
              <w:bottom w:val="single" w:sz="2" w:space="0" w:color="auto"/>
            </w:tcBorders>
            <w:vAlign w:val="bottom"/>
          </w:tcPr>
          <w:p w14:paraId="216E0AE6" w14:textId="77777777" w:rsidR="00F6131F" w:rsidRDefault="00F6131F">
            <w:pPr>
              <w:pStyle w:val="NameSector"/>
            </w:pPr>
          </w:p>
        </w:tc>
        <w:tc>
          <w:tcPr>
            <w:tcW w:w="3119" w:type="dxa"/>
            <w:gridSpan w:val="2"/>
            <w:vMerge/>
            <w:tcBorders>
              <w:top w:val="single" w:sz="2" w:space="0" w:color="auto"/>
              <w:bottom w:val="single" w:sz="2" w:space="0" w:color="auto"/>
            </w:tcBorders>
            <w:vAlign w:val="bottom"/>
          </w:tcPr>
          <w:p w14:paraId="15A4EF5A" w14:textId="77777777" w:rsidR="00F6131F" w:rsidRDefault="00F6131F">
            <w:pPr>
              <w:pStyle w:val="PressSign"/>
            </w:pPr>
          </w:p>
        </w:tc>
      </w:tr>
      <w:tr w:rsidR="00F6131F" w14:paraId="5B221919" w14:textId="77777777">
        <w:trPr>
          <w:cantSplit/>
          <w:trHeight w:hRule="exact" w:val="907"/>
        </w:trPr>
        <w:tc>
          <w:tcPr>
            <w:tcW w:w="6521" w:type="dxa"/>
            <w:tcBorders>
              <w:top w:val="single" w:sz="2" w:space="0" w:color="auto"/>
              <w:bottom w:val="nil"/>
            </w:tcBorders>
          </w:tcPr>
          <w:p w14:paraId="6A89E214" w14:textId="77777777" w:rsidR="00F6131F" w:rsidRDefault="00F6131F">
            <w:pPr>
              <w:pStyle w:val="NameDivision"/>
            </w:pPr>
          </w:p>
        </w:tc>
        <w:tc>
          <w:tcPr>
            <w:tcW w:w="3119" w:type="dxa"/>
            <w:gridSpan w:val="2"/>
            <w:tcBorders>
              <w:top w:val="single" w:sz="2" w:space="0" w:color="auto"/>
              <w:bottom w:val="nil"/>
            </w:tcBorders>
          </w:tcPr>
          <w:p w14:paraId="46B2F9B3" w14:textId="77777777" w:rsidR="00F6131F" w:rsidRDefault="008415EF" w:rsidP="00AA65B4">
            <w:pPr>
              <w:pStyle w:val="Datum1"/>
            </w:pPr>
            <w:r>
              <w:t xml:space="preserve">Nuremberg, </w:t>
            </w:r>
            <w:r w:rsidR="00AA65B4">
              <w:t>September 7</w:t>
            </w:r>
            <w:r>
              <w:t xml:space="preserve">, 2016 </w:t>
            </w:r>
          </w:p>
        </w:tc>
      </w:tr>
      <w:tr w:rsidR="00F6131F" w14:paraId="4B15A4F8" w14:textId="77777777">
        <w:trPr>
          <w:gridAfter w:val="1"/>
          <w:wAfter w:w="1418" w:type="dxa"/>
          <w:cantSplit/>
          <w:trHeight w:hRule="exact" w:val="397"/>
        </w:trPr>
        <w:tc>
          <w:tcPr>
            <w:tcW w:w="8222" w:type="dxa"/>
            <w:gridSpan w:val="2"/>
            <w:tcBorders>
              <w:top w:val="nil"/>
              <w:bottom w:val="nil"/>
            </w:tcBorders>
          </w:tcPr>
          <w:p w14:paraId="4629C274" w14:textId="77777777" w:rsidR="00F6131F" w:rsidRDefault="00F6131F">
            <w:pPr>
              <w:pStyle w:val="ExhibitionInfo"/>
            </w:pPr>
          </w:p>
        </w:tc>
      </w:tr>
    </w:tbl>
    <w:tbl>
      <w:tblPr>
        <w:tblW w:w="9640" w:type="dxa"/>
        <w:tblLayout w:type="fixed"/>
        <w:tblCellMar>
          <w:left w:w="0" w:type="dxa"/>
          <w:right w:w="0" w:type="dxa"/>
        </w:tblCellMar>
        <w:tblLook w:val="0000" w:firstRow="0" w:lastRow="0" w:firstColumn="0" w:lastColumn="0" w:noHBand="0" w:noVBand="0"/>
      </w:tblPr>
      <w:tblGrid>
        <w:gridCol w:w="6521"/>
        <w:gridCol w:w="3119"/>
      </w:tblGrid>
      <w:tr w:rsidR="00F6131F" w14:paraId="577A3A73" w14:textId="77777777">
        <w:trPr>
          <w:cantSplit/>
        </w:trPr>
        <w:tc>
          <w:tcPr>
            <w:tcW w:w="6521" w:type="dxa"/>
          </w:tcPr>
          <w:p w14:paraId="1866AD37" w14:textId="77777777" w:rsidR="00F6131F" w:rsidRDefault="008415EF">
            <w:pPr>
              <w:pStyle w:val="Footer1Z1"/>
              <w:framePr w:w="9639" w:wrap="around" w:vAnchor="page" w:hAnchor="page" w:x="1169" w:y="15168" w:anchorLock="1"/>
              <w:suppressOverlap/>
            </w:pPr>
            <w:r>
              <w:t>Siemens AG</w:t>
            </w:r>
          </w:p>
          <w:p w14:paraId="360FD8C5" w14:textId="77777777" w:rsidR="00F6131F" w:rsidRDefault="008415EF">
            <w:pPr>
              <w:pStyle w:val="Footer1"/>
              <w:framePr w:w="9639" w:wrap="around" w:vAnchor="page" w:hAnchor="page" w:x="1169" w:y="15168" w:anchorLock="1"/>
              <w:suppressOverlap/>
            </w:pPr>
            <w:r>
              <w:t>Communications</w:t>
            </w:r>
          </w:p>
          <w:p w14:paraId="18FBC37A" w14:textId="77777777" w:rsidR="00F6131F" w:rsidRDefault="008415EF">
            <w:pPr>
              <w:pStyle w:val="Footer1"/>
              <w:framePr w:w="9639" w:wrap="around" w:vAnchor="page" w:hAnchor="page" w:x="1169" w:y="15168" w:anchorLock="1"/>
              <w:suppressOverlap/>
            </w:pPr>
            <w:r>
              <w:t>Head: Clarissa Haller</w:t>
            </w:r>
            <w:r>
              <w:br/>
            </w:r>
            <w:r>
              <w:br/>
            </w:r>
          </w:p>
        </w:tc>
        <w:tc>
          <w:tcPr>
            <w:tcW w:w="3119" w:type="dxa"/>
          </w:tcPr>
          <w:p w14:paraId="0D86E4DB" w14:textId="77777777" w:rsidR="00F6131F" w:rsidRDefault="008415EF">
            <w:pPr>
              <w:pStyle w:val="Footer2"/>
              <w:framePr w:w="9639" w:wrap="around" w:vAnchor="page" w:hAnchor="page" w:x="1169" w:y="15168" w:anchorLock="1"/>
            </w:pPr>
            <w:r>
              <w:t>Wittelsbacherplatz 2</w:t>
            </w:r>
          </w:p>
          <w:p w14:paraId="0B066E9E" w14:textId="77777777" w:rsidR="00F6131F" w:rsidRDefault="008415EF">
            <w:pPr>
              <w:pStyle w:val="Footer2"/>
              <w:framePr w:w="9639" w:wrap="around" w:vAnchor="page" w:hAnchor="page" w:x="1169" w:y="15168" w:anchorLock="1"/>
            </w:pPr>
            <w:r>
              <w:t>80333 Munich</w:t>
            </w:r>
          </w:p>
          <w:p w14:paraId="10CE5AB3" w14:textId="77777777" w:rsidR="00F6131F" w:rsidRDefault="008415EF">
            <w:pPr>
              <w:pStyle w:val="Footer2"/>
              <w:framePr w:w="9639" w:wrap="around" w:vAnchor="page" w:hAnchor="page" w:x="1169" w:y="15168" w:anchorLock="1"/>
            </w:pPr>
            <w:r>
              <w:t>Germany</w:t>
            </w:r>
          </w:p>
        </w:tc>
      </w:tr>
      <w:tr w:rsidR="00F6131F" w14:paraId="20E7E852" w14:textId="77777777">
        <w:trPr>
          <w:cantSplit/>
          <w:trHeight w:hRule="exact" w:val="181"/>
        </w:trPr>
        <w:tc>
          <w:tcPr>
            <w:tcW w:w="9640" w:type="dxa"/>
            <w:gridSpan w:val="2"/>
          </w:tcPr>
          <w:p w14:paraId="07213B2D" w14:textId="77777777" w:rsidR="00F6131F" w:rsidRDefault="008415EF" w:rsidP="00D34611">
            <w:pPr>
              <w:pStyle w:val="ReferenceNumber"/>
              <w:framePr w:w="9639" w:wrap="around" w:vAnchor="page" w:hAnchor="page" w:x="1169" w:y="15168" w:anchorLock="1"/>
              <w:suppressOverlap/>
              <w:rPr>
                <w:lang w:val="en-US"/>
              </w:rPr>
            </w:pPr>
            <w:r>
              <w:rPr>
                <w:lang w:val="en-US"/>
              </w:rPr>
              <w:t>Reference number:</w:t>
            </w:r>
            <w:r>
              <w:rPr>
                <w:lang w:val="en-US"/>
              </w:rPr>
              <w:fldChar w:fldCharType="begin"/>
            </w:r>
            <w:r>
              <w:rPr>
                <w:lang w:val="en-US"/>
              </w:rPr>
              <w:instrText xml:space="preserve"> MACROBUTTON  Abbrechen </w:instrText>
            </w:r>
            <w:r>
              <w:rPr>
                <w:lang w:val="en-US"/>
              </w:rPr>
              <w:fldChar w:fldCharType="end"/>
            </w:r>
            <w:r w:rsidR="00AA65B4" w:rsidRPr="00423C18">
              <w:t xml:space="preserve"> PR2016090388PD</w:t>
            </w:r>
            <w:r w:rsidR="00AA65B4">
              <w:t>EN</w:t>
            </w:r>
          </w:p>
        </w:tc>
      </w:tr>
    </w:tbl>
    <w:p w14:paraId="7BC84363" w14:textId="77777777" w:rsidR="00F6131F" w:rsidRDefault="00F6131F">
      <w:pPr>
        <w:framePr w:w="9639" w:wrap="around" w:vAnchor="page" w:hAnchor="page" w:x="1169" w:y="15168" w:anchorLock="1"/>
        <w:spacing w:line="14" w:lineRule="exact"/>
        <w:suppressOverlap/>
        <w:rPr>
          <w:lang w:val="en-US"/>
        </w:rPr>
      </w:pPr>
    </w:p>
    <w:p w14:paraId="4CCE369C" w14:textId="77777777" w:rsidR="00F6131F" w:rsidRDefault="008415EF">
      <w:pPr>
        <w:pStyle w:val="Headline"/>
      </w:pPr>
      <w:r>
        <w:rPr>
          <w:color w:val="000000"/>
        </w:rPr>
        <w:t xml:space="preserve">Industrial Ethernet switches for reliable communication in harsh environments </w:t>
      </w:r>
    </w:p>
    <w:p w14:paraId="1E11CC13" w14:textId="77777777" w:rsidR="00F6131F" w:rsidRDefault="00F6131F">
      <w:pPr>
        <w:pStyle w:val="Bodytext"/>
      </w:pPr>
    </w:p>
    <w:p w14:paraId="2BCEC0BB" w14:textId="77777777" w:rsidR="00F6131F" w:rsidRDefault="008415EF">
      <w:pPr>
        <w:pStyle w:val="BulletsListing"/>
      </w:pPr>
      <w:r>
        <w:rPr>
          <w:bCs/>
        </w:rPr>
        <w:t>Scalance XP-200 in low-profile design with high IP65/67 degree of protection</w:t>
      </w:r>
    </w:p>
    <w:p w14:paraId="35C498E1" w14:textId="77777777" w:rsidR="00F6131F" w:rsidRDefault="008415EF">
      <w:pPr>
        <w:pStyle w:val="BulletsListing"/>
      </w:pPr>
      <w:r>
        <w:rPr>
          <w:bCs/>
        </w:rPr>
        <w:t>Extended temperature range from -40 °C to +70 °C</w:t>
      </w:r>
    </w:p>
    <w:p w14:paraId="5229CC80" w14:textId="77777777" w:rsidR="00F6131F" w:rsidRDefault="008415EF">
      <w:pPr>
        <w:pStyle w:val="BulletsListing"/>
      </w:pPr>
      <w:r>
        <w:rPr>
          <w:bCs/>
        </w:rPr>
        <w:t xml:space="preserve">Gigabit-capability and Power-over-Ethernet with a total power of 120 W </w:t>
      </w:r>
    </w:p>
    <w:p w14:paraId="28971F65" w14:textId="77777777" w:rsidR="00F6131F" w:rsidRDefault="008415EF">
      <w:pPr>
        <w:pStyle w:val="BulletsListing"/>
      </w:pPr>
      <w:r>
        <w:rPr>
          <w:bCs/>
        </w:rPr>
        <w:t xml:space="preserve">Particularly suitable for the oil and gas industry, rail and road vehicles </w:t>
      </w:r>
    </w:p>
    <w:p w14:paraId="489C37D0" w14:textId="77777777" w:rsidR="00F6131F" w:rsidRDefault="00F6131F">
      <w:pPr>
        <w:pStyle w:val="BulletsListing"/>
        <w:numPr>
          <w:ilvl w:val="0"/>
          <w:numId w:val="0"/>
        </w:numPr>
        <w:ind w:left="227"/>
      </w:pPr>
    </w:p>
    <w:p w14:paraId="2C160366" w14:textId="77777777" w:rsidR="00F6131F" w:rsidRDefault="008415EF">
      <w:pPr>
        <w:pStyle w:val="Bodytext"/>
      </w:pPr>
      <w:r>
        <w:t xml:space="preserve">With its new Scalance XP-200 product line, Siemens offers compact Industrial Ethernet switches for the setup of electrical line, star and ring structures. The devices feature a low-profile, robust metal enclosure with a high degree of protection (IP65/67) and a wide operating temperature range from -40 °C to +70 °C. This provides flexibility to be deployed outside the control cabinet, both indoors and outside. In addition, the layer 2 switches offer a choice of industry-specific certifications. For example, they are approved for hazardous locations in zone 2 (ATEX, IECEx, cULus HazLoc) and therefore suitable for the oil and gas industry. Furthermore, particularly rugged versions are available for use in rail or road vehicles. </w:t>
      </w:r>
    </w:p>
    <w:p w14:paraId="638D3BEA" w14:textId="77777777" w:rsidR="00F6131F" w:rsidRDefault="00F6131F">
      <w:pPr>
        <w:pStyle w:val="Bodytext"/>
        <w:rPr>
          <w:b/>
          <w:bCs/>
        </w:rPr>
      </w:pPr>
    </w:p>
    <w:p w14:paraId="3C40745F" w14:textId="77777777" w:rsidR="00F6131F" w:rsidRDefault="008415EF">
      <w:pPr>
        <w:pStyle w:val="Bodytext"/>
      </w:pPr>
      <w:r>
        <w:t xml:space="preserve">There are two versions available with different numbers of ports: Scalance XP208 has eight ports while Scalance XP216 has 16. In addition to Fast Ethernet ports using the M12 connection system (D-coded), Scalance XP216 also offers up to four Gigabit ports in M12 connection technology (X-coded). </w:t>
      </w:r>
    </w:p>
    <w:p w14:paraId="0FBD3DBA" w14:textId="77777777" w:rsidR="00343C57" w:rsidRDefault="00343C57">
      <w:pPr>
        <w:pStyle w:val="Bodytext"/>
      </w:pPr>
    </w:p>
    <w:p w14:paraId="69F5BA8C" w14:textId="77777777" w:rsidR="00F6131F" w:rsidRDefault="008415EF">
      <w:pPr>
        <w:pStyle w:val="Bodytext"/>
      </w:pPr>
      <w:r>
        <w:t xml:space="preserve">Both versions are available as particularly robust EEC versions (EEC = Extended Environmental Conditions). The devices are certified in accordance with the EN 50155 and EN 45545 railway standards and are suitable for use both trainside and trackside. They are also approved for use in road vehicles with e1/E1 requirements. To supply end devices with energy, Scalance XP208PoE EEC and Scalance </w:t>
      </w:r>
      <w:r>
        <w:lastRenderedPageBreak/>
        <w:t>XP216PoE EEC offer a total output of 120 watts in accordance with the Power-over-Ethernet (PoE) standard IEEE 802.3at Type 2.</w:t>
      </w:r>
    </w:p>
    <w:p w14:paraId="13026C9F" w14:textId="77777777" w:rsidR="00F6131F" w:rsidRDefault="00F6131F">
      <w:pPr>
        <w:pStyle w:val="Bodytext"/>
      </w:pPr>
    </w:p>
    <w:p w14:paraId="5F0DC87B" w14:textId="77777777" w:rsidR="00F6131F" w:rsidRDefault="008415EF">
      <w:pPr>
        <w:pStyle w:val="Bodytext"/>
      </w:pPr>
      <w:r>
        <w:t xml:space="preserve">All of the switches in this product line feature a redundant power supply which enables reliable operation even if one power supply system fails. </w:t>
      </w:r>
    </w:p>
    <w:p w14:paraId="2ED103C8" w14:textId="77777777" w:rsidR="00F6131F" w:rsidRDefault="008415EF">
      <w:pPr>
        <w:pStyle w:val="Bodytext"/>
      </w:pPr>
      <w:r>
        <w:t>As in the case of all managed layer 2 switches of the Scalance X series, users can transfer configurations from one switch to another when replacing a device by simply plugging in the C-plug. This minimizes downtimes. The device status can be quickly and easily determined on site by means of the clear LED indicators, without the need for additional devices such as PGs.</w:t>
      </w:r>
    </w:p>
    <w:p w14:paraId="238AD51E" w14:textId="77777777" w:rsidR="00F6131F" w:rsidRPr="00FD1AE9" w:rsidRDefault="00F6131F">
      <w:pPr>
        <w:pStyle w:val="ListParagraph"/>
        <w:spacing w:line="360" w:lineRule="auto"/>
        <w:ind w:left="0"/>
        <w:rPr>
          <w:rFonts w:ascii="Arial" w:hAnsi="Arial"/>
          <w:szCs w:val="20"/>
          <w:lang w:val="en-US"/>
        </w:rPr>
      </w:pPr>
    </w:p>
    <w:p w14:paraId="201EA1FD" w14:textId="77777777" w:rsidR="00F6131F" w:rsidRDefault="008415EF">
      <w:pPr>
        <w:pStyle w:val="Bodytext"/>
        <w:rPr>
          <w:szCs w:val="22"/>
        </w:rPr>
      </w:pPr>
      <w:r>
        <w:rPr>
          <w:szCs w:val="22"/>
        </w:rPr>
        <w:t>A five-year warranty applies to the new Scalance XP-200 devices, as for all Scalance products.</w:t>
      </w:r>
    </w:p>
    <w:p w14:paraId="52392254" w14:textId="77777777" w:rsidR="00F6131F" w:rsidRDefault="00F6131F">
      <w:pPr>
        <w:pStyle w:val="Bodytext"/>
      </w:pPr>
    </w:p>
    <w:p w14:paraId="74E6CBED" w14:textId="77777777" w:rsidR="00343C57" w:rsidRDefault="00343C57">
      <w:pPr>
        <w:pStyle w:val="Bodytext"/>
      </w:pPr>
      <w:r>
        <w:rPr>
          <w:noProof/>
          <w:lang w:eastAsia="en-US"/>
        </w:rPr>
        <w:drawing>
          <wp:inline distT="0" distB="0" distL="0" distR="0" wp14:anchorId="033B20DF" wp14:editId="0E68C9E1">
            <wp:extent cx="4529328" cy="3270263"/>
            <wp:effectExtent l="0" t="0" r="508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2016070901PD_400dp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30651" cy="3271218"/>
                    </a:xfrm>
                    <a:prstGeom prst="rect">
                      <a:avLst/>
                    </a:prstGeom>
                  </pic:spPr>
                </pic:pic>
              </a:graphicData>
            </a:graphic>
          </wp:inline>
        </w:drawing>
      </w:r>
    </w:p>
    <w:p w14:paraId="552A3403" w14:textId="77777777" w:rsidR="00343C57" w:rsidRDefault="00343C57">
      <w:pPr>
        <w:pStyle w:val="Bodytext"/>
      </w:pPr>
      <w:r>
        <w:t>With its new Scalance XP-200 product line, Siemens offers compact Industrial Ethernet switches for the setup of electrical line, star and ring structures. The devices feature a low-profile, robust metal enclosure with a high degree of protection (IP65/67) and a wide operating temperature range from -40 °C to +70 °C.</w:t>
      </w:r>
    </w:p>
    <w:p w14:paraId="4F1A4D1A" w14:textId="77777777" w:rsidR="00343C57" w:rsidRDefault="00343C57">
      <w:pPr>
        <w:pStyle w:val="Bodytext"/>
      </w:pPr>
    </w:p>
    <w:p w14:paraId="3F0CBB82" w14:textId="77777777" w:rsidR="00F6131F" w:rsidRDefault="008415EF">
      <w:pPr>
        <w:pStyle w:val="Bodytext"/>
      </w:pPr>
      <w:r>
        <w:t xml:space="preserve">This press release and a press picture are available at </w:t>
      </w:r>
    </w:p>
    <w:p w14:paraId="668234A1" w14:textId="77777777" w:rsidR="00AA65B4" w:rsidRDefault="005B411C">
      <w:pPr>
        <w:pStyle w:val="Bodytext"/>
        <w:rPr>
          <w:noProof/>
        </w:rPr>
      </w:pPr>
      <w:hyperlink r:id="rId9" w:history="1">
        <w:r w:rsidR="00E76B14" w:rsidRPr="00E76B14">
          <w:rPr>
            <w:rStyle w:val="Hyperlink"/>
          </w:rPr>
          <w:t>http://www.siemens.com/press/</w:t>
        </w:r>
        <w:r w:rsidR="00E76B14" w:rsidRPr="00475872">
          <w:rPr>
            <w:rStyle w:val="Hyperlink"/>
            <w:noProof/>
          </w:rPr>
          <w:t>PR2016090388PDEN</w:t>
        </w:r>
      </w:hyperlink>
    </w:p>
    <w:p w14:paraId="2C29EC7E" w14:textId="77777777" w:rsidR="00E76B14" w:rsidRPr="00E76B14" w:rsidRDefault="00E76B14">
      <w:pPr>
        <w:pStyle w:val="Bodytext"/>
      </w:pPr>
    </w:p>
    <w:p w14:paraId="5F6255BE" w14:textId="77777777" w:rsidR="00F6131F" w:rsidRPr="00E76B14" w:rsidRDefault="00F6131F">
      <w:pPr>
        <w:pStyle w:val="Bodytext"/>
      </w:pPr>
    </w:p>
    <w:p w14:paraId="5A804E29" w14:textId="77777777" w:rsidR="00E76B14" w:rsidRDefault="008415EF">
      <w:pPr>
        <w:pStyle w:val="Bodytext"/>
      </w:pPr>
      <w:r>
        <w:t xml:space="preserve">Additional information can be found at </w:t>
      </w:r>
      <w:hyperlink r:id="rId10" w:history="1">
        <w:r w:rsidR="00E76B14" w:rsidRPr="00475872">
          <w:rPr>
            <w:rStyle w:val="Hyperlink"/>
          </w:rPr>
          <w:t>www.siemens.com/xp-200</w:t>
        </w:r>
      </w:hyperlink>
    </w:p>
    <w:p w14:paraId="07436991" w14:textId="77777777" w:rsidR="00F6131F" w:rsidRDefault="00F6131F">
      <w:pPr>
        <w:pStyle w:val="Bodytext"/>
      </w:pPr>
    </w:p>
    <w:p w14:paraId="40359E04" w14:textId="77777777" w:rsidR="00F6131F" w:rsidRDefault="00F6131F">
      <w:pPr>
        <w:pStyle w:val="Bodytext"/>
        <w:rPr>
          <w:b/>
          <w:bCs/>
        </w:rPr>
      </w:pPr>
    </w:p>
    <w:p w14:paraId="63FBDE16" w14:textId="77777777" w:rsidR="00F6131F" w:rsidRDefault="008415EF">
      <w:pPr>
        <w:pStyle w:val="Bodytext"/>
        <w:rPr>
          <w:b/>
        </w:rPr>
      </w:pPr>
      <w:r>
        <w:rPr>
          <w:b/>
          <w:bCs/>
        </w:rPr>
        <w:t>Contact for journalists:</w:t>
      </w:r>
    </w:p>
    <w:p w14:paraId="5083DBA4" w14:textId="77777777" w:rsidR="00F6131F" w:rsidRDefault="008415EF">
      <w:pPr>
        <w:pStyle w:val="Bodytext"/>
      </w:pPr>
      <w:r>
        <w:t>Dr. David Petry</w:t>
      </w:r>
      <w:r>
        <w:br/>
        <w:t xml:space="preserve">Phone: +49 (913) 172-6616; E-mail: </w:t>
      </w:r>
      <w:hyperlink r:id="rId11" w:history="1">
        <w:r>
          <w:rPr>
            <w:rStyle w:val="Hyperlink"/>
          </w:rPr>
          <w:t>david.petry@siemens.com</w:t>
        </w:r>
      </w:hyperlink>
      <w:r>
        <w:t xml:space="preserve"> </w:t>
      </w:r>
    </w:p>
    <w:p w14:paraId="6D8E00C3" w14:textId="77777777" w:rsidR="00F6131F" w:rsidRDefault="00F6131F">
      <w:pPr>
        <w:pStyle w:val="Bodytext"/>
      </w:pPr>
    </w:p>
    <w:p w14:paraId="7BC01F0A" w14:textId="77777777" w:rsidR="00F6131F" w:rsidRDefault="008415EF">
      <w:pPr>
        <w:pStyle w:val="Bodytext"/>
      </w:pPr>
      <w:r>
        <w:t xml:space="preserve">Follow us on </w:t>
      </w:r>
      <w:r>
        <w:rPr>
          <w:b/>
          <w:bCs/>
        </w:rPr>
        <w:t>social media</w:t>
      </w:r>
      <w:r>
        <w:t>:</w:t>
      </w:r>
    </w:p>
    <w:p w14:paraId="1473B98C" w14:textId="77777777" w:rsidR="00F6131F" w:rsidRDefault="008415EF">
      <w:pPr>
        <w:pStyle w:val="Bodytext"/>
      </w:pPr>
      <w:r>
        <w:rPr>
          <w:b/>
          <w:bCs/>
        </w:rPr>
        <w:t>Twitter</w:t>
      </w:r>
      <w:r>
        <w:t xml:space="preserve">: </w:t>
      </w:r>
      <w:hyperlink r:id="rId12" w:history="1">
        <w:r w:rsidR="00E76B14" w:rsidRPr="00E76B14">
          <w:rPr>
            <w:rStyle w:val="Hyperlink"/>
          </w:rPr>
          <w:t>www.twitter.com/siemens_press</w:t>
        </w:r>
      </w:hyperlink>
      <w:r>
        <w:t xml:space="preserve"> and </w:t>
      </w:r>
      <w:hyperlink r:id="rId13" w:history="1">
        <w:r>
          <w:rPr>
            <w:rStyle w:val="Hyperlink"/>
          </w:rPr>
          <w:t>www.twitter.com/SiemensIndustry</w:t>
        </w:r>
      </w:hyperlink>
      <w:r>
        <w:t xml:space="preserve"> </w:t>
      </w:r>
    </w:p>
    <w:p w14:paraId="36A1ED87" w14:textId="77777777" w:rsidR="00E76B14" w:rsidRDefault="008415EF">
      <w:pPr>
        <w:pStyle w:val="Bodytext"/>
        <w:rPr>
          <w:lang w:val="de-DE"/>
        </w:rPr>
      </w:pPr>
      <w:r>
        <w:rPr>
          <w:b/>
          <w:bCs/>
          <w:lang w:val="de-DE"/>
        </w:rPr>
        <w:t>Blog</w:t>
      </w:r>
      <w:r>
        <w:rPr>
          <w:lang w:val="de-DE"/>
        </w:rPr>
        <w:t xml:space="preserve">: </w:t>
      </w:r>
      <w:hyperlink r:id="rId14" w:history="1">
        <w:r w:rsidR="00E76B14" w:rsidRPr="00475872">
          <w:rPr>
            <w:rStyle w:val="Hyperlink"/>
            <w:lang w:val="de-DE"/>
          </w:rPr>
          <w:t>https://blogs.siemens.com/mediaservice-industries-en</w:t>
        </w:r>
      </w:hyperlink>
    </w:p>
    <w:p w14:paraId="7D221A53" w14:textId="77777777" w:rsidR="00F6131F" w:rsidRDefault="00F6131F">
      <w:pPr>
        <w:pStyle w:val="Bodytext"/>
        <w:rPr>
          <w:lang w:val="de-DE"/>
        </w:rPr>
      </w:pPr>
    </w:p>
    <w:p w14:paraId="2058CA88" w14:textId="77777777" w:rsidR="007705D1" w:rsidRDefault="007705D1">
      <w:pPr>
        <w:pStyle w:val="Bodytext"/>
        <w:rPr>
          <w:lang w:val="de-DE"/>
        </w:rPr>
      </w:pPr>
    </w:p>
    <w:p w14:paraId="095E77EF" w14:textId="77777777" w:rsidR="00F6131F" w:rsidRDefault="008415EF">
      <w:pPr>
        <w:pStyle w:val="Boilerplate"/>
        <w:rPr>
          <w:szCs w:val="16"/>
        </w:rPr>
      </w:pPr>
      <w:r>
        <w:rPr>
          <w:b/>
          <w:szCs w:val="16"/>
        </w:rPr>
        <w:t>Siemens AG</w:t>
      </w:r>
      <w:r>
        <w:rPr>
          <w:szCs w:val="16"/>
        </w:rPr>
        <w:t xml:space="preserve"> (Berlin and Munich) is a global technology powerhouse that has stood for engineering excellence, innovation, quality, reliability and internationality for more than 165 years. The company is active in more than 200 countries, focusing on the areas of electrification, automation and digitalization. One of the world’s largest producers of energy-efficient, resource-saving technologies, Siemens is No. 1 in offshore wind turbine construction, a leading supplier of gas and steam turbines for power generation, a major provider of power transmission solutions and a pioneer in infrastructure solutions as well as automation, drive and software solutions for industry. The company is also a leading provider of medical imaging equipment – such as computed tomography and magnetic resonance imaging systems – and a leader in laboratory diagnostics as well as clinical IT. In fiscal 2015, which ended on September 30, 2015, Siemens generated revenue of €75.6 billion and net income of €7.4 billion. At the end of September 2015, the company had around 348,000 employees worldwide. </w:t>
      </w:r>
    </w:p>
    <w:p w14:paraId="082BCBF7" w14:textId="77777777" w:rsidR="00F6131F" w:rsidRDefault="008415EF">
      <w:pPr>
        <w:pStyle w:val="Boilerplate"/>
        <w:rPr>
          <w:szCs w:val="16"/>
        </w:rPr>
      </w:pPr>
      <w:r>
        <w:rPr>
          <w:szCs w:val="16"/>
        </w:rPr>
        <w:t xml:space="preserve">Further information is available on the Internet at </w:t>
      </w:r>
      <w:hyperlink r:id="rId15" w:history="1">
        <w:r>
          <w:rPr>
            <w:rStyle w:val="Hyperlink"/>
            <w:szCs w:val="16"/>
          </w:rPr>
          <w:t>www.siemens.com</w:t>
        </w:r>
      </w:hyperlink>
      <w:r>
        <w:rPr>
          <w:szCs w:val="16"/>
        </w:rPr>
        <w:t>.</w:t>
      </w:r>
    </w:p>
    <w:p w14:paraId="133C88CB" w14:textId="77777777" w:rsidR="00F6131F" w:rsidRDefault="00F6131F">
      <w:pPr>
        <w:pStyle w:val="Boilerplate"/>
      </w:pPr>
    </w:p>
    <w:p w14:paraId="145880DB" w14:textId="77777777" w:rsidR="00F6131F" w:rsidRDefault="00F6131F">
      <w:pPr>
        <w:pStyle w:val="Bodytext"/>
      </w:pPr>
    </w:p>
    <w:p w14:paraId="22541260" w14:textId="77777777" w:rsidR="00F6131F" w:rsidRDefault="00F6131F">
      <w:pPr>
        <w:pStyle w:val="Disclaimer"/>
      </w:pPr>
    </w:p>
    <w:sectPr w:rsidR="00F6131F">
      <w:headerReference w:type="default" r:id="rId16"/>
      <w:footerReference w:type="default" r:id="rId17"/>
      <w:footerReference w:type="first" r:id="rId18"/>
      <w:pgSz w:w="11906" w:h="16838" w:code="9"/>
      <w:pgMar w:top="907" w:right="2552" w:bottom="1077" w:left="1134" w:header="90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EAA9D" w14:textId="77777777" w:rsidR="005B411C" w:rsidRDefault="005B411C">
      <w:r>
        <w:separator/>
      </w:r>
    </w:p>
  </w:endnote>
  <w:endnote w:type="continuationSeparator" w:id="0">
    <w:p w14:paraId="5696C976" w14:textId="77777777" w:rsidR="005B411C" w:rsidRDefault="005B4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0D2D4" w14:textId="77777777" w:rsidR="00F6131F" w:rsidRDefault="008415EF">
    <w:pPr>
      <w:pStyle w:val="scforgzeile"/>
      <w:rPr>
        <w:lang w:val="en-US"/>
      </w:rPr>
    </w:pPr>
    <w:r>
      <w:fldChar w:fldCharType="begin"/>
    </w:r>
    <w:r>
      <w:rPr>
        <w:lang w:val="en-US"/>
      </w:rPr>
      <w:instrText xml:space="preserve"> STYLEREF \* CHARFORMAT "Reference Number" </w:instrText>
    </w:r>
    <w:r>
      <w:fldChar w:fldCharType="separate"/>
    </w:r>
    <w:r w:rsidR="005547D3">
      <w:rPr>
        <w:lang w:val="en-US"/>
      </w:rPr>
      <w:t>Reference number: PR2016090388PDEN</w:t>
    </w:r>
    <w:r>
      <w:fldChar w:fldCharType="end"/>
    </w:r>
    <w:r>
      <w:rPr>
        <w:lang w:val="en-US"/>
      </w:rPr>
      <w:tab/>
    </w:r>
    <w:r>
      <w:rPr>
        <w:rStyle w:val="Page"/>
        <w:lang w:val="en-US"/>
      </w:rPr>
      <w:t xml:space="preserve">Page </w:t>
    </w:r>
    <w:r>
      <w:rPr>
        <w:rStyle w:val="Page"/>
      </w:rPr>
      <w:fldChar w:fldCharType="begin"/>
    </w:r>
    <w:r>
      <w:rPr>
        <w:rStyle w:val="Page"/>
        <w:lang w:val="en-US"/>
      </w:rPr>
      <w:instrText xml:space="preserve"> PAGE  \* MERGEFORMAT </w:instrText>
    </w:r>
    <w:r>
      <w:rPr>
        <w:rStyle w:val="Page"/>
      </w:rPr>
      <w:fldChar w:fldCharType="separate"/>
    </w:r>
    <w:r w:rsidR="005547D3">
      <w:rPr>
        <w:rStyle w:val="Page"/>
        <w:lang w:val="en-US"/>
      </w:rPr>
      <w:t>2</w:t>
    </w:r>
    <w:r>
      <w:rPr>
        <w:rStyle w:val="Page"/>
      </w:rPr>
      <w:fldChar w:fldCharType="end"/>
    </w:r>
    <w:r>
      <w:rPr>
        <w:rStyle w:val="Page"/>
        <w:lang w:val="en-US"/>
      </w:rPr>
      <w:t>/</w:t>
    </w:r>
    <w:r w:rsidR="005B411C">
      <w:fldChar w:fldCharType="begin"/>
    </w:r>
    <w:r w:rsidR="005B411C">
      <w:instrText xml:space="preserve"> NUMPAGES  \* MERGEFORMAT </w:instrText>
    </w:r>
    <w:r w:rsidR="005B411C">
      <w:fldChar w:fldCharType="separate"/>
    </w:r>
    <w:r w:rsidR="005547D3" w:rsidRPr="005547D3">
      <w:rPr>
        <w:rStyle w:val="Page"/>
        <w:lang w:val="en-US"/>
      </w:rPr>
      <w:t>3</w:t>
    </w:r>
    <w:r w:rsidR="005B411C">
      <w:rPr>
        <w:rStyle w:val="Page"/>
        <w:lang w:val="en-US"/>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EFCD2" w14:textId="77777777" w:rsidR="00F6131F" w:rsidRDefault="008415EF">
    <w:pPr>
      <w:pStyle w:val="scforgzeile"/>
      <w:rPr>
        <w:rStyle w:val="Page"/>
      </w:rPr>
    </w:pP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5547D3">
      <w:rPr>
        <w:rStyle w:val="Page"/>
      </w:rPr>
      <w:t>1</w:t>
    </w:r>
    <w:r>
      <w:rPr>
        <w:rStyle w:val="Page"/>
      </w:rPr>
      <w:fldChar w:fldCharType="end"/>
    </w:r>
    <w:r>
      <w:rPr>
        <w:rStyle w:val="Page"/>
      </w:rPr>
      <w:t>/</w:t>
    </w:r>
    <w:r w:rsidR="005B411C">
      <w:fldChar w:fldCharType="begin"/>
    </w:r>
    <w:r w:rsidR="005B411C">
      <w:instrText xml:space="preserve"> NUMPAGES  \* MERGEFORMAT </w:instrText>
    </w:r>
    <w:r w:rsidR="005B411C">
      <w:fldChar w:fldCharType="separate"/>
    </w:r>
    <w:r w:rsidR="005547D3" w:rsidRPr="005547D3">
      <w:rPr>
        <w:rStyle w:val="Page"/>
      </w:rPr>
      <w:t>3</w:t>
    </w:r>
    <w:r w:rsidR="005B411C">
      <w:rPr>
        <w:rStyle w:val="Page"/>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BB568" w14:textId="77777777" w:rsidR="005B411C" w:rsidRDefault="005B411C">
      <w:r>
        <w:separator/>
      </w:r>
    </w:p>
  </w:footnote>
  <w:footnote w:type="continuationSeparator" w:id="0">
    <w:p w14:paraId="4D05E495" w14:textId="77777777" w:rsidR="005B411C" w:rsidRDefault="005B411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6521"/>
      <w:gridCol w:w="3119"/>
    </w:tblGrid>
    <w:tr w:rsidR="00F6131F" w14:paraId="7FC10BCB" w14:textId="77777777">
      <w:trPr>
        <w:cantSplit/>
        <w:trHeight w:hRule="exact" w:val="1191"/>
      </w:trPr>
      <w:tc>
        <w:tcPr>
          <w:tcW w:w="6521" w:type="dxa"/>
        </w:tcPr>
        <w:p w14:paraId="1C16A793" w14:textId="77777777" w:rsidR="00F6131F" w:rsidRDefault="008415EF">
          <w:pPr>
            <w:pStyle w:val="HeaderPage2"/>
            <w:rPr>
              <w:b/>
            </w:rPr>
          </w:pPr>
          <w:r>
            <w:rPr>
              <w:b/>
            </w:rPr>
            <w:t>Siemens AG</w:t>
          </w:r>
        </w:p>
      </w:tc>
      <w:tc>
        <w:tcPr>
          <w:tcW w:w="3119" w:type="dxa"/>
        </w:tcPr>
        <w:p w14:paraId="2C276E59" w14:textId="77777777" w:rsidR="00F6131F" w:rsidRDefault="008415EF">
          <w:pPr>
            <w:pStyle w:val="HeaderPage2"/>
          </w:pPr>
          <w:r>
            <w:t>Press Release</w:t>
          </w:r>
        </w:p>
      </w:tc>
    </w:tr>
  </w:tbl>
  <w:p w14:paraId="2BEE652E" w14:textId="77777777" w:rsidR="00F6131F" w:rsidRDefault="00F6131F">
    <w:pPr>
      <w:spacing w:line="14" w:lineRule="exac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7A2A9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66AB42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0963E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B1F475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28CDA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A04A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362D0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14043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023646"/>
    <w:lvl w:ilvl="0">
      <w:start w:val="1"/>
      <w:numFmt w:val="decimal"/>
      <w:pStyle w:val="ListNumber"/>
      <w:lvlText w:val="%1."/>
      <w:lvlJc w:val="left"/>
      <w:pPr>
        <w:tabs>
          <w:tab w:val="num" w:pos="360"/>
        </w:tabs>
        <w:ind w:left="360" w:hanging="360"/>
      </w:pPr>
    </w:lvl>
  </w:abstractNum>
  <w:abstractNum w:abstractNumId="9">
    <w:nsid w:val="FFFFFF89"/>
    <w:multiLevelType w:val="singleLevel"/>
    <w:tmpl w:val="964C5B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68242C"/>
    <w:multiLevelType w:val="hybridMultilevel"/>
    <w:tmpl w:val="BEDED1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0351587F"/>
    <w:multiLevelType w:val="hybridMultilevel"/>
    <w:tmpl w:val="B50C3BE6"/>
    <w:lvl w:ilvl="0" w:tplc="D4067D2E">
      <w:numFmt w:val="bullet"/>
      <w:pStyle w:val="BulletsListing"/>
      <w:lvlText w:val=""/>
      <w:lvlJc w:val="left"/>
      <w:pPr>
        <w:tabs>
          <w:tab w:val="num" w:pos="227"/>
        </w:tabs>
        <w:ind w:left="227" w:hanging="227"/>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27400E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32C56C2E"/>
    <w:multiLevelType w:val="multilevel"/>
    <w:tmpl w:val="AAEE0606"/>
    <w:lvl w:ilvl="0">
      <w:numFmt w:val="bullet"/>
      <w:lvlText w:val=""/>
      <w:lvlJc w:val="left"/>
      <w:pPr>
        <w:tabs>
          <w:tab w:val="num" w:pos="170"/>
        </w:tabs>
        <w:ind w:left="0" w:firstLine="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6F250C"/>
    <w:multiLevelType w:val="multilevel"/>
    <w:tmpl w:val="7F3A6EB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08E1F3E"/>
    <w:multiLevelType w:val="hybridMultilevel"/>
    <w:tmpl w:val="7F3A6EB8"/>
    <w:lvl w:ilvl="0" w:tplc="7F928976">
      <w:start w:val="1"/>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7C860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A291DAF"/>
    <w:multiLevelType w:val="multilevel"/>
    <w:tmpl w:val="2AAC5740"/>
    <w:lvl w:ilvl="0">
      <w:numFmt w:val="bullet"/>
      <w:lvlText w:val=""/>
      <w:lvlJc w:val="left"/>
      <w:pPr>
        <w:tabs>
          <w:tab w:val="num" w:pos="284"/>
        </w:tabs>
        <w:ind w:left="284" w:hanging="284"/>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DB52151"/>
    <w:multiLevelType w:val="multilevel"/>
    <w:tmpl w:val="04090023"/>
    <w:styleLink w:val="ArticleSection"/>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5"/>
  </w:num>
  <w:num w:numId="2">
    <w:abstractNumId w:val="14"/>
  </w:num>
  <w:num w:numId="3">
    <w:abstractNumId w:val="11"/>
  </w:num>
  <w:num w:numId="4">
    <w:abstractNumId w:val="13"/>
  </w:num>
  <w:num w:numId="5">
    <w:abstractNumId w:val="17"/>
  </w:num>
  <w:num w:numId="6">
    <w:abstractNumId w:val="9"/>
  </w:num>
  <w:num w:numId="7">
    <w:abstractNumId w:val="7"/>
  </w:num>
  <w:num w:numId="8">
    <w:abstractNumId w:val="6"/>
  </w:num>
  <w:num w:numId="9">
    <w:abstractNumId w:val="5"/>
  </w:num>
  <w:num w:numId="10">
    <w:abstractNumId w:val="4"/>
  </w:num>
  <w:num w:numId="11">
    <w:abstractNumId w:val="12"/>
  </w:num>
  <w:num w:numId="12">
    <w:abstractNumId w:val="16"/>
  </w:num>
  <w:num w:numId="13">
    <w:abstractNumId w:val="18"/>
  </w:num>
  <w:num w:numId="14">
    <w:abstractNumId w:val="8"/>
  </w:num>
  <w:num w:numId="15">
    <w:abstractNumId w:val="3"/>
  </w:num>
  <w:num w:numId="16">
    <w:abstractNumId w:val="2"/>
  </w:num>
  <w:num w:numId="17">
    <w:abstractNumId w:val="1"/>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oNotHyphenateCaps/>
  <w:clickAndTypeStyle w:val="Bodytext"/>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31F"/>
    <w:rsid w:val="00343C57"/>
    <w:rsid w:val="005547D3"/>
    <w:rsid w:val="005B411C"/>
    <w:rsid w:val="005D34F3"/>
    <w:rsid w:val="005F6406"/>
    <w:rsid w:val="006126B9"/>
    <w:rsid w:val="007705D1"/>
    <w:rsid w:val="008415EF"/>
    <w:rsid w:val="00A83876"/>
    <w:rsid w:val="00AA65B4"/>
    <w:rsid w:val="00D34611"/>
    <w:rsid w:val="00E76B14"/>
    <w:rsid w:val="00F34636"/>
    <w:rsid w:val="00F6131F"/>
    <w:rsid w:val="00FD1A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ED08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Hyperlink" w:uiPriority="99"/>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Pr>
      <w:rFonts w:ascii="Arial" w:hAnsi="Arial"/>
    </w:rPr>
  </w:style>
  <w:style w:type="paragraph" w:styleId="Heading1">
    <w:name w:val="heading 1"/>
    <w:basedOn w:val="Normal"/>
    <w:next w:val="Normal"/>
    <w:pPr>
      <w:spacing w:before="1077" w:after="300"/>
      <w:outlineLvl w:val="0"/>
    </w:pPr>
    <w:rPr>
      <w:rFonts w:cs="Arial"/>
      <w:bCs/>
      <w:noProof/>
      <w:sz w:val="40"/>
      <w:szCs w:val="24"/>
    </w:rPr>
  </w:style>
  <w:style w:type="paragraph" w:styleId="Heading2">
    <w:name w:val="heading 2"/>
    <w:basedOn w:val="Normal"/>
    <w:next w:val="Normal"/>
    <w:pPr>
      <w:keepNext/>
      <w:outlineLvl w:val="1"/>
    </w:pPr>
    <w:rPr>
      <w:rFonts w:cs="Arial"/>
      <w:b/>
      <w:bCs/>
      <w:iCs/>
      <w:noProof/>
      <w:szCs w:val="28"/>
    </w:rPr>
  </w:style>
  <w:style w:type="paragraph" w:styleId="Heading3">
    <w:name w:val="heading 3"/>
    <w:basedOn w:val="Normal"/>
    <w:next w:val="Normal"/>
    <w:pPr>
      <w:keepNext/>
      <w:outlineLvl w:val="2"/>
    </w:pPr>
    <w:rPr>
      <w:rFonts w:cs="Arial"/>
      <w:bCs/>
      <w:noProof/>
      <w:szCs w:val="26"/>
    </w:rPr>
  </w:style>
  <w:style w:type="paragraph" w:styleId="Heading4">
    <w:name w:val="heading 4"/>
    <w:basedOn w:val="Normal"/>
    <w:next w:val="Normal"/>
    <w:pPr>
      <w:keepNext/>
      <w:spacing w:before="240" w:after="60"/>
      <w:outlineLvl w:val="3"/>
    </w:pPr>
    <w:rPr>
      <w:rFonts w:ascii="Times New Roman" w:hAnsi="Times New Roman"/>
      <w:b/>
      <w:bCs/>
      <w:sz w:val="28"/>
      <w:szCs w:val="28"/>
    </w:rPr>
  </w:style>
  <w:style w:type="paragraph" w:styleId="Heading5">
    <w:name w:val="heading 5"/>
    <w:basedOn w:val="Normal"/>
    <w:next w:val="Normal"/>
    <w:pPr>
      <w:spacing w:before="240" w:after="60"/>
      <w:outlineLvl w:val="4"/>
    </w:pPr>
    <w:rPr>
      <w:b/>
      <w:bCs/>
      <w:i/>
      <w:iCs/>
      <w:sz w:val="26"/>
      <w:szCs w:val="26"/>
    </w:rPr>
  </w:style>
  <w:style w:type="paragraph" w:styleId="Heading6">
    <w:name w:val="heading 6"/>
    <w:basedOn w:val="Normal"/>
    <w:next w:val="Normal"/>
    <w:pPr>
      <w:spacing w:before="240" w:after="60"/>
      <w:outlineLvl w:val="5"/>
    </w:pPr>
    <w:rPr>
      <w:rFonts w:ascii="Times New Roman" w:hAnsi="Times New Roman"/>
      <w:b/>
      <w:bCs/>
      <w:sz w:val="22"/>
      <w:szCs w:val="22"/>
    </w:rPr>
  </w:style>
  <w:style w:type="paragraph" w:styleId="Heading7">
    <w:name w:val="heading 7"/>
    <w:basedOn w:val="Normal"/>
    <w:next w:val="Normal"/>
    <w:pPr>
      <w:spacing w:before="240" w:after="60"/>
      <w:outlineLvl w:val="6"/>
    </w:pPr>
    <w:rPr>
      <w:rFonts w:ascii="Times New Roman" w:hAnsi="Times New Roman"/>
      <w:sz w:val="24"/>
      <w:szCs w:val="24"/>
    </w:rPr>
  </w:style>
  <w:style w:type="paragraph" w:styleId="Heading8">
    <w:name w:val="heading 8"/>
    <w:basedOn w:val="Normal"/>
    <w:next w:val="Normal"/>
    <w:pPr>
      <w:spacing w:before="240" w:after="60"/>
      <w:outlineLvl w:val="7"/>
    </w:pPr>
    <w:rPr>
      <w:rFonts w:ascii="Times New Roman" w:hAnsi="Times New Roman"/>
      <w:i/>
      <w:iCs/>
      <w:sz w:val="24"/>
      <w:szCs w:val="24"/>
    </w:rPr>
  </w:style>
  <w:style w:type="paragraph" w:styleId="Heading9">
    <w:name w:val="heading 9"/>
    <w:basedOn w:val="Normal"/>
    <w:next w:val="Normal"/>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customStyle="1" w:styleId="Page">
    <w:name w:val="Page"/>
    <w:basedOn w:val="DefaultParagraphFont"/>
    <w:rPr>
      <w:rFonts w:ascii="Arial" w:hAnsi="Arial"/>
      <w:sz w:val="16"/>
    </w:rPr>
  </w:style>
  <w:style w:type="paragraph" w:customStyle="1" w:styleId="SiemensLogo">
    <w:name w:val="Siemens Logo"/>
    <w:rPr>
      <w:rFonts w:ascii="Arial" w:hAnsi="Arial"/>
      <w:noProof/>
      <w:sz w:val="22"/>
      <w:lang w:val="en-US"/>
    </w:rPr>
  </w:style>
  <w:style w:type="paragraph" w:customStyle="1" w:styleId="Bodytext">
    <w:name w:val="Bodytext"/>
    <w:link w:val="BodytextZchn"/>
    <w:uiPriority w:val="99"/>
    <w:qFormat/>
    <w:pPr>
      <w:spacing w:line="360" w:lineRule="auto"/>
    </w:pPr>
    <w:rPr>
      <w:rFonts w:ascii="Arial" w:hAnsi="Arial"/>
      <w:sz w:val="22"/>
      <w:lang w:val="en-US"/>
    </w:rPr>
  </w:style>
  <w:style w:type="paragraph" w:customStyle="1" w:styleId="Footer1">
    <w:name w:val="Footer1"/>
    <w:rPr>
      <w:rFonts w:ascii="Arial" w:hAnsi="Arial"/>
      <w:noProof/>
      <w:sz w:val="16"/>
      <w:szCs w:val="16"/>
      <w:lang w:val="en-US"/>
    </w:rPr>
  </w:style>
  <w:style w:type="paragraph" w:customStyle="1" w:styleId="Footer1Z1">
    <w:name w:val="Footer1Z1"/>
    <w:basedOn w:val="Footer1"/>
    <w:rPr>
      <w:b/>
    </w:rPr>
  </w:style>
  <w:style w:type="paragraph" w:customStyle="1" w:styleId="Footer2">
    <w:name w:val="Footer2"/>
    <w:rPr>
      <w:rFonts w:ascii="Arial" w:hAnsi="Arial"/>
      <w:noProof/>
      <w:sz w:val="16"/>
      <w:szCs w:val="16"/>
      <w:lang w:val="en-US"/>
    </w:rPr>
  </w:style>
  <w:style w:type="paragraph" w:customStyle="1" w:styleId="ReferenceNumber">
    <w:name w:val="Reference Number"/>
    <w:qFormat/>
    <w:rPr>
      <w:rFonts w:ascii="Arial" w:hAnsi="Arial"/>
      <w:noProof/>
      <w:sz w:val="16"/>
      <w:szCs w:val="16"/>
    </w:rPr>
  </w:style>
  <w:style w:type="paragraph" w:customStyle="1" w:styleId="NameSector">
    <w:name w:val="Name Sector"/>
    <w:basedOn w:val="SiemensLogo"/>
    <w:pPr>
      <w:spacing w:after="110"/>
    </w:pPr>
    <w:rPr>
      <w:b/>
      <w:sz w:val="20"/>
    </w:rPr>
  </w:style>
  <w:style w:type="paragraph" w:customStyle="1" w:styleId="scforgzeile">
    <w:name w:val="scforgzeile"/>
    <w:basedOn w:val="SiemensLogo"/>
    <w:pPr>
      <w:tabs>
        <w:tab w:val="right" w:pos="9639"/>
      </w:tabs>
    </w:pPr>
    <w:rPr>
      <w:sz w:val="16"/>
      <w:lang w:val="de-DE"/>
    </w:rPr>
  </w:style>
  <w:style w:type="paragraph" w:customStyle="1" w:styleId="HeaderPage2">
    <w:name w:val="Header Page 2"/>
    <w:basedOn w:val="SiemensLogo"/>
    <w:rPr>
      <w:sz w:val="20"/>
    </w:rPr>
  </w:style>
  <w:style w:type="paragraph" w:customStyle="1" w:styleId="PressSign">
    <w:name w:val="Press Sign"/>
    <w:basedOn w:val="SiemensLogo"/>
    <w:pPr>
      <w:spacing w:after="40"/>
      <w:ind w:left="-57"/>
    </w:pPr>
    <w:rPr>
      <w:color w:val="A6A6A6"/>
      <w:sz w:val="62"/>
    </w:rPr>
  </w:style>
  <w:style w:type="paragraph" w:customStyle="1" w:styleId="Datum1">
    <w:name w:val="Datum1"/>
    <w:basedOn w:val="Bodytext"/>
    <w:pPr>
      <w:spacing w:before="110" w:line="240" w:lineRule="auto"/>
    </w:pPr>
    <w:rPr>
      <w:sz w:val="20"/>
    </w:rPr>
  </w:style>
  <w:style w:type="paragraph" w:customStyle="1" w:styleId="BulletsListing">
    <w:name w:val="Bullets Listing"/>
    <w:basedOn w:val="Bodytext"/>
    <w:qFormat/>
    <w:pPr>
      <w:numPr>
        <w:numId w:val="3"/>
      </w:numPr>
    </w:pPr>
    <w:rPr>
      <w:b/>
    </w:rPr>
  </w:style>
  <w:style w:type="paragraph" w:customStyle="1" w:styleId="NameDivision">
    <w:name w:val="Name Division"/>
    <w:basedOn w:val="SiemensLogo"/>
    <w:pPr>
      <w:spacing w:before="110"/>
    </w:pPr>
    <w:rPr>
      <w:sz w:val="20"/>
    </w:rPr>
  </w:style>
  <w:style w:type="numbering" w:styleId="111111">
    <w:name w:val="Outline List 2"/>
    <w:basedOn w:val="NoList"/>
    <w:semiHidden/>
    <w:pPr>
      <w:numPr>
        <w:numId w:val="11"/>
      </w:numPr>
    </w:pPr>
  </w:style>
  <w:style w:type="character" w:styleId="Hyperlink">
    <w:name w:val="Hyperlink"/>
    <w:basedOn w:val="DefaultParagraphFont"/>
    <w:uiPriority w:val="99"/>
    <w:rPr>
      <w:color w:val="0000FF"/>
      <w:u w:val="single"/>
    </w:rPr>
  </w:style>
  <w:style w:type="paragraph" w:customStyle="1" w:styleId="Boilerplate">
    <w:name w:val="Boilerplate"/>
    <w:basedOn w:val="Bodytext"/>
    <w:qFormat/>
    <w:pPr>
      <w:keepLines/>
    </w:pPr>
    <w:rPr>
      <w:sz w:val="16"/>
    </w:rPr>
  </w:style>
  <w:style w:type="paragraph" w:customStyle="1" w:styleId="Disclaimer">
    <w:name w:val="Disclaimer"/>
    <w:basedOn w:val="Bodytext"/>
    <w:qFormat/>
    <w:pPr>
      <w:keepLines/>
    </w:pPr>
    <w:rPr>
      <w:sz w:val="16"/>
    </w:rPr>
  </w:style>
  <w:style w:type="paragraph" w:customStyle="1" w:styleId="Headline">
    <w:name w:val="Headline"/>
    <w:next w:val="Bodytext"/>
    <w:qFormat/>
    <w:rPr>
      <w:rFonts w:ascii="Arial" w:hAnsi="Arial"/>
      <w:sz w:val="40"/>
      <w:lang w:val="en-US"/>
    </w:rPr>
  </w:style>
  <w:style w:type="numbering" w:styleId="1ai">
    <w:name w:val="Outline List 1"/>
    <w:basedOn w:val="NoList"/>
    <w:semiHidden/>
    <w:pPr>
      <w:numPr>
        <w:numId w:val="12"/>
      </w:numPr>
    </w:pPr>
  </w:style>
  <w:style w:type="paragraph" w:styleId="Salutation">
    <w:name w:val="Salutation"/>
    <w:basedOn w:val="Normal"/>
    <w:next w:val="Normal"/>
    <w:semiHidden/>
  </w:style>
  <w:style w:type="numbering" w:styleId="ArticleSection">
    <w:name w:val="Outline List 3"/>
    <w:basedOn w:val="NoList"/>
    <w:semiHidden/>
    <w:pPr>
      <w:numPr>
        <w:numId w:val="13"/>
      </w:numPr>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character" w:styleId="FollowedHyperlink">
    <w:name w:val="FollowedHyperlink"/>
    <w:basedOn w:val="DefaultParagraphFont"/>
    <w:semiHidden/>
    <w:rPr>
      <w:color w:val="800080"/>
      <w:u w:val="single"/>
    </w:rPr>
  </w:style>
  <w:style w:type="paragraph" w:styleId="BlockText">
    <w:name w:val="Block Text"/>
    <w:basedOn w:val="Normal"/>
    <w:semiHidden/>
    <w:pPr>
      <w:spacing w:after="120"/>
      <w:ind w:left="1440" w:right="1440"/>
    </w:pPr>
  </w:style>
  <w:style w:type="paragraph" w:styleId="Date">
    <w:name w:val="Date"/>
    <w:basedOn w:val="Normal"/>
    <w:next w:val="Normal"/>
    <w:semiHidden/>
  </w:style>
  <w:style w:type="paragraph" w:styleId="E-mailSignature">
    <w:name w:val="E-mail Signature"/>
    <w:basedOn w:val="Normal"/>
    <w:semiHidden/>
  </w:style>
  <w:style w:type="character" w:styleId="Strong">
    <w:name w:val="Strong"/>
    <w:basedOn w:val="DefaultParagraphFont"/>
    <w:rPr>
      <w:b/>
      <w:bCs/>
    </w:rPr>
  </w:style>
  <w:style w:type="paragraph" w:styleId="NoteHeading">
    <w:name w:val="Note Heading"/>
    <w:basedOn w:val="Normal"/>
    <w:next w:val="Normal"/>
    <w:semiHidden/>
  </w:style>
  <w:style w:type="paragraph" w:styleId="Closing">
    <w:name w:val="Closing"/>
    <w:basedOn w:val="Normal"/>
    <w:semiHidden/>
    <w:pPr>
      <w:ind w:left="4252"/>
    </w:pPr>
  </w:style>
  <w:style w:type="character" w:styleId="Emphasis">
    <w:name w:val="Emphasis"/>
    <w:basedOn w:val="DefaultParagraphFont"/>
    <w:rPr>
      <w:i/>
      <w:iCs/>
    </w:rPr>
  </w:style>
  <w:style w:type="paragraph" w:styleId="HTMLAddress">
    <w:name w:val="HTML Address"/>
    <w:basedOn w:val="Normal"/>
    <w:semiHidden/>
    <w:rPr>
      <w:i/>
      <w:iCs/>
    </w:rPr>
  </w:style>
  <w:style w:type="character" w:styleId="HTMLAcronym">
    <w:name w:val="HTML Acronym"/>
    <w:basedOn w:val="DefaultParagraphFont"/>
    <w:semiHidden/>
  </w:style>
  <w:style w:type="character" w:styleId="HTMLSample">
    <w:name w:val="HTML Sample"/>
    <w:basedOn w:val="DefaultParagraphFont"/>
    <w:semiHidden/>
    <w:rPr>
      <w:rFonts w:ascii="Courier New" w:hAnsi="Courier New" w:cs="Courier New"/>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Typewriter">
    <w:name w:val="HTML Typewriter"/>
    <w:basedOn w:val="DefaultParagraphFont"/>
    <w:semiHidden/>
    <w:rPr>
      <w:rFonts w:ascii="Courier New" w:hAnsi="Courier New" w:cs="Courier New"/>
      <w:sz w:val="20"/>
      <w:szCs w:val="20"/>
    </w:rPr>
  </w:style>
  <w:style w:type="character" w:styleId="HTMLKeyboard">
    <w:name w:val="HTML Keyboard"/>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HTMLPreformatted">
    <w:name w:val="HTML Preformatted"/>
    <w:basedOn w:val="Normal"/>
    <w:semiHidden/>
    <w:rPr>
      <w:rFonts w:ascii="Courier New" w:hAnsi="Courier New" w:cs="Courier New"/>
    </w:rPr>
  </w:style>
  <w:style w:type="character" w:styleId="HTMLCite">
    <w:name w:val="HTML Cite"/>
    <w:basedOn w:val="DefaultParagraphFont"/>
    <w:semiHidden/>
    <w:rPr>
      <w:i/>
      <w:i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4"/>
      </w:numPr>
    </w:pPr>
  </w:style>
  <w:style w:type="paragraph" w:styleId="ListNumber2">
    <w:name w:val="List Number 2"/>
    <w:basedOn w:val="Normal"/>
    <w:semiHidden/>
    <w:pPr>
      <w:numPr>
        <w:numId w:val="15"/>
      </w:numPr>
    </w:pPr>
  </w:style>
  <w:style w:type="paragraph" w:styleId="ListNumber3">
    <w:name w:val="List Number 3"/>
    <w:basedOn w:val="Normal"/>
    <w:semiHidden/>
    <w:pPr>
      <w:numPr>
        <w:numId w:val="16"/>
      </w:numPr>
    </w:pPr>
  </w:style>
  <w:style w:type="paragraph" w:styleId="ListNumber4">
    <w:name w:val="List Number 4"/>
    <w:basedOn w:val="Normal"/>
    <w:semiHidden/>
    <w:pPr>
      <w:numPr>
        <w:numId w:val="17"/>
      </w:numPr>
    </w:pPr>
  </w:style>
  <w:style w:type="paragraph" w:styleId="ListNumber5">
    <w:name w:val="List Number 5"/>
    <w:basedOn w:val="Normal"/>
    <w:semiHidden/>
    <w:pPr>
      <w:numPr>
        <w:numId w:val="18"/>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PlainText">
    <w:name w:val="Plain Text"/>
    <w:basedOn w:val="Normal"/>
    <w:semiHidden/>
    <w:rPr>
      <w:rFonts w:ascii="Courier New" w:hAnsi="Courier New" w:cs="Courier New"/>
    </w:rPr>
  </w:style>
  <w:style w:type="character" w:styleId="PageNumber">
    <w:name w:val="page number"/>
    <w:basedOn w:val="DefaultParagraphFont"/>
    <w:semiHidden/>
  </w:style>
  <w:style w:type="paragraph" w:styleId="NormalWeb">
    <w:name w:val="Normal (Web)"/>
    <w:basedOn w:val="Normal"/>
    <w:semiHidden/>
    <w:rPr>
      <w:rFonts w:ascii="Times New Roman" w:hAnsi="Times New Roman"/>
      <w:sz w:val="24"/>
      <w:szCs w:val="24"/>
    </w:rPr>
  </w:style>
  <w:style w:type="paragraph" w:styleId="NormalIndent">
    <w:name w:val="Normal Indent"/>
    <w:basedOn w:val="Normal"/>
    <w:semiHidden/>
    <w:pPr>
      <w:ind w:left="720"/>
    </w:pPr>
  </w:style>
  <w:style w:type="table" w:styleId="Table3Deffects1">
    <w:name w:val="Table 3D effects 1"/>
    <w:basedOn w:val="TableNormal"/>
    <w:semiHidden/>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semiHidden/>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semiHidden/>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semiHidden/>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semiHidden/>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0">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FirstIndent">
    <w:name w:val="Body Text First Indent"/>
    <w:basedOn w:val="BodyText0"/>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Title">
    <w:name w:val="Title"/>
    <w:basedOn w:val="Normal"/>
    <w:pPr>
      <w:spacing w:before="240" w:after="60"/>
      <w:jc w:val="center"/>
      <w:outlineLvl w:val="0"/>
    </w:pPr>
    <w:rPr>
      <w:rFonts w:cs="Arial"/>
      <w:b/>
      <w:bCs/>
      <w:kern w:val="28"/>
      <w:sz w:val="32"/>
      <w:szCs w:val="32"/>
    </w:rPr>
  </w:style>
  <w:style w:type="paragraph" w:styleId="EnvelopeReturn">
    <w:name w:val="envelope return"/>
    <w:basedOn w:val="Normal"/>
    <w:semiHidden/>
    <w:rPr>
      <w:rFonts w:cs="Arial"/>
    </w:rPr>
  </w:style>
  <w:style w:type="paragraph" w:styleId="EnvelopeAddress">
    <w:name w:val="envelope address"/>
    <w:basedOn w:val="Normal"/>
    <w:semiHidden/>
    <w:pPr>
      <w:framePr w:w="7920" w:h="1980" w:hRule="exact" w:hSpace="180" w:wrap="auto" w:hAnchor="page" w:xAlign="center" w:yAlign="bottom"/>
      <w:ind w:left="2880"/>
    </w:pPr>
    <w:rPr>
      <w:rFonts w:cs="Arial"/>
      <w:sz w:val="24"/>
      <w:szCs w:val="24"/>
    </w:rPr>
  </w:style>
  <w:style w:type="paragraph" w:styleId="Signature">
    <w:name w:val="Signature"/>
    <w:basedOn w:val="Normal"/>
    <w:semiHidden/>
    <w:pPr>
      <w:ind w:left="4252"/>
    </w:pPr>
  </w:style>
  <w:style w:type="paragraph" w:styleId="Subtitle">
    <w:name w:val="Subtitle"/>
    <w:basedOn w:val="Normal"/>
    <w:pPr>
      <w:spacing w:after="60"/>
      <w:jc w:val="center"/>
      <w:outlineLvl w:val="1"/>
    </w:pPr>
    <w:rPr>
      <w:rFonts w:cs="Arial"/>
      <w:sz w:val="24"/>
      <w:szCs w:val="24"/>
    </w:rPr>
  </w:style>
  <w:style w:type="character" w:styleId="LineNumber">
    <w:name w:val="line number"/>
    <w:basedOn w:val="DefaultParagraphFont"/>
    <w:semiHidden/>
  </w:style>
  <w:style w:type="paragraph" w:customStyle="1" w:styleId="ExhibitionInfo">
    <w:name w:val="Exhibition Info"/>
    <w:qFormat/>
    <w:pPr>
      <w:spacing w:line="360" w:lineRule="auto"/>
    </w:pPr>
    <w:rPr>
      <w:rFonts w:ascii="Arial" w:hAnsi="Arial"/>
      <w:b/>
      <w:noProof/>
      <w:sz w:val="22"/>
      <w:lang w:val="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BodytextZchn">
    <w:name w:val="Bodytext Zchn"/>
    <w:link w:val="Bodytext"/>
    <w:uiPriority w:val="99"/>
    <w:rPr>
      <w:rFonts w:ascii="Arial" w:hAnsi="Arial"/>
      <w:sz w:val="22"/>
      <w:lang w:val="en-US"/>
    </w:rPr>
  </w:style>
  <w:style w:type="paragraph" w:styleId="ListParagraph">
    <w:name w:val="List Paragraph"/>
    <w:basedOn w:val="Normal"/>
    <w:uiPriority w:val="34"/>
    <w:qFormat/>
    <w:pPr>
      <w:ind w:left="720"/>
    </w:pPr>
    <w:rPr>
      <w:rFonts w:ascii="Calibri" w:hAnsi="Calibri"/>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780815">
      <w:bodyDiv w:val="1"/>
      <w:marLeft w:val="0"/>
      <w:marRight w:val="0"/>
      <w:marTop w:val="0"/>
      <w:marBottom w:val="0"/>
      <w:divBdr>
        <w:top w:val="none" w:sz="0" w:space="0" w:color="auto"/>
        <w:left w:val="none" w:sz="0" w:space="0" w:color="auto"/>
        <w:bottom w:val="none" w:sz="0" w:space="0" w:color="auto"/>
        <w:right w:val="none" w:sz="0" w:space="0" w:color="auto"/>
      </w:divBdr>
    </w:div>
    <w:div w:id="157496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iemens.com/press/PR2016090388PDEN" TargetMode="External"/><Relationship Id="rId20" Type="http://schemas.openxmlformats.org/officeDocument/2006/relationships/theme" Target="theme/theme1.xml"/><Relationship Id="rId10" Type="http://schemas.openxmlformats.org/officeDocument/2006/relationships/hyperlink" Target="http://www.siemens.com/xp-200" TargetMode="External"/><Relationship Id="rId11" Type="http://schemas.openxmlformats.org/officeDocument/2006/relationships/hyperlink" Target="mailto:david.petry@siemens.com" TargetMode="External"/><Relationship Id="rId12" Type="http://schemas.openxmlformats.org/officeDocument/2006/relationships/hyperlink" Target="http://www.twitter.com/siemens_press" TargetMode="External"/><Relationship Id="rId13" Type="http://schemas.openxmlformats.org/officeDocument/2006/relationships/hyperlink" Target="http://www.twitter.com/SiemensIndustry" TargetMode="External"/><Relationship Id="rId14" Type="http://schemas.openxmlformats.org/officeDocument/2006/relationships/hyperlink" Target="https://blogs.siemens.com/mediaservice-industries-en" TargetMode="External"/><Relationship Id="rId15" Type="http://schemas.openxmlformats.org/officeDocument/2006/relationships/hyperlink" Target="http://www.siemens.com"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ntelep\AppData\Local\Microsoft\Windows\Temporary%20Internet%20Files\Content.IE5\QZO17DFT\press-release-siemens_neutral-template_en_october-2014_25sept2014.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C:\Users\pantelep\AppData\Local\Microsoft\Windows\Temporary Internet Files\Content.IE5\QZO17DFT\press-release-siemens_neutral-template_en_october-2014_25sept2014.dotx</Template>
  <TotalTime>0</TotalTime>
  <Pages>3</Pages>
  <Words>748</Words>
  <Characters>4270</Characters>
  <Application>Microsoft Macintosh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Pressemitteilung Siemens AG englisch</vt:lpstr>
    </vt:vector>
  </TitlesOfParts>
  <Manager>marion.bludszuweit@siemens.com</Manager>
  <Company>Siemens AG</Company>
  <LinksUpToDate>false</LinksUpToDate>
  <CharactersWithSpaces>5008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Siemens AG englisch</dc:title>
  <dc:subject>Presse</dc:subject>
  <dc:creator>pantelep</dc:creator>
  <cp:keywords>Press Release Pressemitteilung Siemens AG englisch;C_Restricted</cp:keywords>
  <dc:description>Press Release Siemens AG_x000d_
_x000d_
Stand: 01.10.2014</dc:description>
  <cp:lastModifiedBy>Priscilla Moroke</cp:lastModifiedBy>
  <cp:revision>2</cp:revision>
  <cp:lastPrinted>2016-08-31T08:32:00Z</cp:lastPrinted>
  <dcterms:created xsi:type="dcterms:W3CDTF">2016-09-07T14:16:00Z</dcterms:created>
  <dcterms:modified xsi:type="dcterms:W3CDTF">2016-09-07T14:16:00Z</dcterms:modified>
  <cp:category>2013-01-18/sw;2014-09-25/sw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-1846334327</vt:i4>
  </property>
  <property fmtid="{D5CDD505-2E9C-101B-9397-08002B2CF9AE}" pid="4" name="_EmailSubject">
    <vt:lpwstr>Presseinfo XP-200 </vt:lpwstr>
  </property>
  <property fmtid="{D5CDD505-2E9C-101B-9397-08002B2CF9AE}" pid="5" name="_AuthorEmail">
    <vt:lpwstr>birgit.gottsauner@siemens.com</vt:lpwstr>
  </property>
  <property fmtid="{D5CDD505-2E9C-101B-9397-08002B2CF9AE}" pid="6" name="_AuthorEmailDisplayName">
    <vt:lpwstr>Gottsauner, Birgit (PD PA S CI MP)</vt:lpwstr>
  </property>
  <property fmtid="{D5CDD505-2E9C-101B-9397-08002B2CF9AE}" pid="7" name="Document Confidentiality">
    <vt:lpwstr>Restricted</vt:lpwstr>
  </property>
  <property fmtid="{D5CDD505-2E9C-101B-9397-08002B2CF9AE}" pid="8" name="_PreviousAdHocReviewCycleID">
    <vt:i4>1195751327</vt:i4>
  </property>
  <property fmtid="{D5CDD505-2E9C-101B-9397-08002B2CF9AE}" pid="9" name="_ReviewingToolsShownOnce">
    <vt:lpwstr/>
  </property>
</Properties>
</file>