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910111" w14:textId="77777777" w:rsidR="00E67591" w:rsidRDefault="00232285">
      <w:pPr>
        <w:pStyle w:val="ImmediateRelease"/>
      </w:pPr>
      <w:bookmarkStart w:id="0" w:name="_GoBack"/>
      <w:bookmarkEnd w:id="0"/>
      <w:r>
        <w:rPr>
          <w:noProof/>
        </w:rPr>
        <w:drawing>
          <wp:anchor distT="0" distB="0" distL="114300" distR="114300" simplePos="0" relativeHeight="251658752" behindDoc="0" locked="0" layoutInCell="1" allowOverlap="1" wp14:anchorId="0DE1CF54" wp14:editId="2ADB93FF">
            <wp:simplePos x="0" y="0"/>
            <wp:positionH relativeFrom="column">
              <wp:posOffset>-223520</wp:posOffset>
            </wp:positionH>
            <wp:positionV relativeFrom="paragraph">
              <wp:posOffset>-1591945</wp:posOffset>
            </wp:positionV>
            <wp:extent cx="1107440" cy="792480"/>
            <wp:effectExtent l="0" t="0" r="0" b="0"/>
            <wp:wrapNone/>
            <wp:docPr id="3" name="P 1" descr="CVX_Hallmark_RGB_0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VX_Hallmark_RGB_0708"/>
                    <pic:cNvPicPr>
                      <a:picLocks noChangeAspect="1" noChangeArrowheads="1"/>
                    </pic:cNvPicPr>
                  </pic:nvPicPr>
                  <pic:blipFill>
                    <a:blip r:embed="rId7" cstate="print"/>
                    <a:srcRect b="23698"/>
                    <a:stretch>
                      <a:fillRect/>
                    </a:stretch>
                  </pic:blipFill>
                  <pic:spPr bwMode="auto">
                    <a:xfrm>
                      <a:off x="0" y="0"/>
                      <a:ext cx="1107440" cy="792480"/>
                    </a:xfrm>
                    <a:prstGeom prst="rect">
                      <a:avLst/>
                    </a:prstGeom>
                    <a:noFill/>
                    <a:ln w="9525">
                      <a:noFill/>
                      <a:miter lim="800000"/>
                      <a:headEnd/>
                      <a:tailEnd/>
                    </a:ln>
                  </pic:spPr>
                </pic:pic>
              </a:graphicData>
            </a:graphic>
          </wp:anchor>
        </w:drawing>
      </w:r>
    </w:p>
    <w:p w14:paraId="7DE2BFDD" w14:textId="77777777" w:rsidR="00E67591" w:rsidRDefault="00E67591" w:rsidP="00E67591">
      <w:pPr>
        <w:pStyle w:val="ImmediateRelease"/>
        <w:tabs>
          <w:tab w:val="left" w:pos="2820"/>
        </w:tabs>
      </w:pPr>
      <w:r>
        <w:tab/>
      </w:r>
    </w:p>
    <w:p w14:paraId="7EE7878E" w14:textId="77777777" w:rsidR="00E67591" w:rsidRDefault="00E67591">
      <w:pPr>
        <w:pStyle w:val="ImmediateRelease"/>
      </w:pPr>
    </w:p>
    <w:p w14:paraId="13483F9C" w14:textId="77777777" w:rsidR="00E67591" w:rsidRDefault="00E67591" w:rsidP="00E67591">
      <w:pPr>
        <w:pStyle w:val="ImmediateRelease"/>
      </w:pPr>
      <w:r>
        <w:t>For Immediate Release</w:t>
      </w:r>
      <w:r w:rsidR="000F619F">
        <w:t xml:space="preserve"> </w:t>
      </w:r>
    </w:p>
    <w:p w14:paraId="55BD023C" w14:textId="77777777" w:rsidR="00E67591" w:rsidRDefault="00E67591" w:rsidP="00E67591">
      <w:pPr>
        <w:pStyle w:val="ImmediateRelease"/>
        <w:rPr>
          <w:b w:val="0"/>
          <w:caps w:val="0"/>
          <w:sz w:val="24"/>
        </w:rPr>
      </w:pPr>
    </w:p>
    <w:p w14:paraId="4F0BAB56" w14:textId="77777777" w:rsidR="00E67591" w:rsidRDefault="00E014B0" w:rsidP="00090118">
      <w:pPr>
        <w:pStyle w:val="ImmediateRelease"/>
        <w:jc w:val="center"/>
        <w:rPr>
          <w:caps w:val="0"/>
          <w:sz w:val="28"/>
        </w:rPr>
      </w:pPr>
      <w:r>
        <w:rPr>
          <w:caps w:val="0"/>
          <w:sz w:val="28"/>
        </w:rPr>
        <w:t xml:space="preserve">Caltex Australia </w:t>
      </w:r>
      <w:r w:rsidR="00090118">
        <w:rPr>
          <w:caps w:val="0"/>
          <w:sz w:val="28"/>
        </w:rPr>
        <w:t xml:space="preserve">to </w:t>
      </w:r>
      <w:r w:rsidR="00C212D6">
        <w:rPr>
          <w:caps w:val="0"/>
          <w:sz w:val="28"/>
        </w:rPr>
        <w:t xml:space="preserve">Distribute </w:t>
      </w:r>
      <w:r w:rsidR="00E67591">
        <w:rPr>
          <w:caps w:val="0"/>
          <w:sz w:val="28"/>
        </w:rPr>
        <w:t>Chevron Premium Base Oils in Australia</w:t>
      </w:r>
    </w:p>
    <w:p w14:paraId="0DB8DF88" w14:textId="77777777" w:rsidR="00FF0F94" w:rsidRDefault="00E014B0" w:rsidP="00C630DC">
      <w:pPr>
        <w:pStyle w:val="ImmediateRelease"/>
        <w:jc w:val="center"/>
        <w:rPr>
          <w:b w:val="0"/>
          <w:i/>
          <w:caps w:val="0"/>
          <w:sz w:val="24"/>
        </w:rPr>
      </w:pPr>
      <w:r>
        <w:rPr>
          <w:b w:val="0"/>
          <w:i/>
          <w:caps w:val="0"/>
          <w:sz w:val="24"/>
        </w:rPr>
        <w:t xml:space="preserve">Caltex Australia </w:t>
      </w:r>
      <w:r w:rsidR="00E67591">
        <w:rPr>
          <w:b w:val="0"/>
          <w:i/>
          <w:caps w:val="0"/>
          <w:sz w:val="24"/>
        </w:rPr>
        <w:t>to provide in-region storage, logistics and technical support</w:t>
      </w:r>
    </w:p>
    <w:p w14:paraId="08641D5B" w14:textId="77777777" w:rsidR="00C630DC" w:rsidRDefault="00C630DC" w:rsidP="00E51B44">
      <w:pPr>
        <w:tabs>
          <w:tab w:val="left" w:pos="2160"/>
          <w:tab w:val="left" w:pos="4320"/>
        </w:tabs>
        <w:spacing w:line="360" w:lineRule="auto"/>
        <w:rPr>
          <w:b/>
          <w:sz w:val="24"/>
        </w:rPr>
      </w:pPr>
    </w:p>
    <w:p w14:paraId="03C6E156" w14:textId="77777777" w:rsidR="009A5B57" w:rsidRDefault="00A97695" w:rsidP="00D51230">
      <w:pPr>
        <w:tabs>
          <w:tab w:val="left" w:pos="2160"/>
          <w:tab w:val="left" w:pos="4320"/>
        </w:tabs>
        <w:spacing w:line="276" w:lineRule="auto"/>
        <w:ind w:firstLine="720"/>
      </w:pPr>
      <w:r w:rsidRPr="002367BF">
        <w:t xml:space="preserve">SAN RAMON, Calif., </w:t>
      </w:r>
      <w:r w:rsidR="00555F92">
        <w:t>August 23</w:t>
      </w:r>
      <w:r w:rsidRPr="002367BF">
        <w:t xml:space="preserve">, 2016 – </w:t>
      </w:r>
      <w:r w:rsidRPr="002367BF">
        <w:rPr>
          <w:color w:val="000000"/>
        </w:rPr>
        <w:t xml:space="preserve">Chevron Corporation (NYSE: CVX) </w:t>
      </w:r>
      <w:r w:rsidRPr="002367BF">
        <w:rPr>
          <w:rFonts w:cs="Arial"/>
          <w:color w:val="262626"/>
        </w:rPr>
        <w:t>announced</w:t>
      </w:r>
      <w:r w:rsidR="0096001A" w:rsidRPr="002367BF">
        <w:rPr>
          <w:rFonts w:cs="Arial"/>
          <w:color w:val="262626"/>
        </w:rPr>
        <w:t xml:space="preserve"> today</w:t>
      </w:r>
      <w:r w:rsidRPr="002367BF">
        <w:rPr>
          <w:rFonts w:cs="Arial"/>
          <w:color w:val="262626"/>
        </w:rPr>
        <w:t xml:space="preserve"> that its affiliate, </w:t>
      </w:r>
      <w:r w:rsidR="002B24F0" w:rsidRPr="002367BF">
        <w:rPr>
          <w:color w:val="000000" w:themeColor="text1"/>
        </w:rPr>
        <w:t>C</w:t>
      </w:r>
      <w:r w:rsidR="00FD7C8B" w:rsidRPr="002367BF">
        <w:rPr>
          <w:color w:val="000000" w:themeColor="text1"/>
        </w:rPr>
        <w:t>hevron</w:t>
      </w:r>
      <w:r w:rsidR="002B24F0" w:rsidRPr="002367BF">
        <w:rPr>
          <w:color w:val="000000" w:themeColor="text1"/>
        </w:rPr>
        <w:t xml:space="preserve"> S</w:t>
      </w:r>
      <w:r w:rsidR="00FD7C8B" w:rsidRPr="002367BF">
        <w:rPr>
          <w:color w:val="000000" w:themeColor="text1"/>
        </w:rPr>
        <w:t>ingapore</w:t>
      </w:r>
      <w:r w:rsidR="002B24F0" w:rsidRPr="002367BF">
        <w:rPr>
          <w:color w:val="000000" w:themeColor="text1"/>
        </w:rPr>
        <w:t xml:space="preserve"> </w:t>
      </w:r>
      <w:r w:rsidR="00C212D6" w:rsidRPr="002367BF">
        <w:rPr>
          <w:color w:val="000000" w:themeColor="text1"/>
        </w:rPr>
        <w:t>Pt</w:t>
      </w:r>
      <w:r w:rsidR="00C212D6">
        <w:rPr>
          <w:color w:val="000000" w:themeColor="text1"/>
        </w:rPr>
        <w:t>y</w:t>
      </w:r>
      <w:r w:rsidR="00C212D6" w:rsidRPr="002367BF">
        <w:rPr>
          <w:color w:val="000000" w:themeColor="text1"/>
        </w:rPr>
        <w:t xml:space="preserve"> </w:t>
      </w:r>
      <w:r w:rsidR="00FD7C8B" w:rsidRPr="002367BF">
        <w:rPr>
          <w:color w:val="000000" w:themeColor="text1"/>
        </w:rPr>
        <w:t>Ltd</w:t>
      </w:r>
      <w:r w:rsidR="000109F7">
        <w:rPr>
          <w:color w:val="000000" w:themeColor="text1"/>
        </w:rPr>
        <w:t>,</w:t>
      </w:r>
      <w:r w:rsidR="00FD7C8B" w:rsidRPr="002367BF">
        <w:t xml:space="preserve"> </w:t>
      </w:r>
      <w:r w:rsidR="00E67591" w:rsidRPr="002367BF">
        <w:t xml:space="preserve">has </w:t>
      </w:r>
      <w:r w:rsidRPr="002367BF">
        <w:t xml:space="preserve">signed an agreement with </w:t>
      </w:r>
      <w:r w:rsidR="00B42006" w:rsidRPr="002367BF">
        <w:t>Cal</w:t>
      </w:r>
      <w:r w:rsidR="0096001A" w:rsidRPr="002367BF">
        <w:t>tex Australia Petroleum Pty Ltd</w:t>
      </w:r>
      <w:r w:rsidR="00597DAA">
        <w:t>. to become</w:t>
      </w:r>
      <w:r w:rsidR="00E67591" w:rsidRPr="002367BF">
        <w:t xml:space="preserve"> an authorized distributor of Chevron premium</w:t>
      </w:r>
      <w:r w:rsidR="001C1DC7" w:rsidRPr="002367BF">
        <w:t xml:space="preserve"> Group II</w:t>
      </w:r>
      <w:r w:rsidR="00E67591" w:rsidRPr="002367BF">
        <w:t xml:space="preserve"> base oils in Australia. </w:t>
      </w:r>
      <w:r w:rsidR="00C212D6">
        <w:t>With</w:t>
      </w:r>
      <w:r w:rsidR="000109F7">
        <w:t xml:space="preserve"> limited</w:t>
      </w:r>
      <w:r w:rsidR="0096001A" w:rsidRPr="002367BF">
        <w:t xml:space="preserve"> in-country production of premium base oils, </w:t>
      </w:r>
      <w:r w:rsidR="00C212D6">
        <w:t xml:space="preserve">this agreement will </w:t>
      </w:r>
      <w:r w:rsidR="009A5B57">
        <w:t>help</w:t>
      </w:r>
      <w:r w:rsidR="0096001A" w:rsidRPr="002367BF">
        <w:t xml:space="preserve"> </w:t>
      </w:r>
      <w:r w:rsidR="009A5B57">
        <w:t>meet</w:t>
      </w:r>
      <w:r w:rsidR="009A5B57" w:rsidRPr="002367BF">
        <w:t xml:space="preserve"> </w:t>
      </w:r>
      <w:r w:rsidR="0096001A" w:rsidRPr="002367BF">
        <w:t xml:space="preserve">tightening </w:t>
      </w:r>
      <w:r w:rsidR="00585E61">
        <w:t xml:space="preserve">lubricant </w:t>
      </w:r>
      <w:r w:rsidR="0096001A" w:rsidRPr="002367BF">
        <w:t>specifications</w:t>
      </w:r>
      <w:r w:rsidR="00C212D6">
        <w:t xml:space="preserve"> by</w:t>
      </w:r>
      <w:r w:rsidR="0096001A" w:rsidRPr="002367BF">
        <w:t xml:space="preserve"> creat</w:t>
      </w:r>
      <w:r w:rsidR="00C212D6">
        <w:t>ing</w:t>
      </w:r>
      <w:r w:rsidR="0096001A" w:rsidRPr="002367BF">
        <w:t xml:space="preserve"> a de facto source of local supply </w:t>
      </w:r>
      <w:r w:rsidR="00597DAA">
        <w:t>while</w:t>
      </w:r>
      <w:r w:rsidR="0096001A" w:rsidRPr="002367BF">
        <w:t xml:space="preserve"> minimiz</w:t>
      </w:r>
      <w:r w:rsidR="009A5B57">
        <w:t>ing</w:t>
      </w:r>
      <w:r w:rsidR="0096001A" w:rsidRPr="002367BF">
        <w:t xml:space="preserve"> import complexities for lubricant formulators. </w:t>
      </w:r>
    </w:p>
    <w:p w14:paraId="7FBF5956" w14:textId="77777777" w:rsidR="00090118" w:rsidRDefault="00090118" w:rsidP="00D51230">
      <w:pPr>
        <w:tabs>
          <w:tab w:val="left" w:pos="2160"/>
          <w:tab w:val="left" w:pos="4320"/>
        </w:tabs>
        <w:spacing w:line="276" w:lineRule="auto"/>
        <w:ind w:firstLine="720"/>
      </w:pPr>
    </w:p>
    <w:p w14:paraId="6AD321D0" w14:textId="77777777" w:rsidR="006529B5" w:rsidRPr="002367BF" w:rsidRDefault="000F619F" w:rsidP="00090118">
      <w:pPr>
        <w:tabs>
          <w:tab w:val="left" w:pos="2160"/>
          <w:tab w:val="left" w:pos="4320"/>
        </w:tabs>
        <w:spacing w:line="276" w:lineRule="auto"/>
        <w:ind w:firstLine="720"/>
        <w:rPr>
          <w:i/>
        </w:rPr>
      </w:pPr>
      <w:r w:rsidRPr="002367BF">
        <w:t xml:space="preserve">With in-region availability of Chevron Group II base oils, lubricant formulators will have an economical </w:t>
      </w:r>
      <w:r w:rsidR="00C212D6">
        <w:t>option</w:t>
      </w:r>
      <w:r w:rsidRPr="002367BF">
        <w:t xml:space="preserve"> for optimizing formulations for tightening ACEA, API and OEM specifications, as well as the opportunity </w:t>
      </w:r>
      <w:r w:rsidR="00C212D6">
        <w:t>to</w:t>
      </w:r>
      <w:r w:rsidRPr="002367BF">
        <w:t xml:space="preserve"> offer industrial lubricants</w:t>
      </w:r>
      <w:r w:rsidR="0096001A" w:rsidRPr="002367BF">
        <w:t xml:space="preserve"> that may have</w:t>
      </w:r>
      <w:r w:rsidRPr="002367BF">
        <w:t xml:space="preserve"> longer oil life and lower additive treat rate. </w:t>
      </w:r>
      <w:r w:rsidR="009A5B57">
        <w:t xml:space="preserve">As part of this agreement, </w:t>
      </w:r>
      <w:r w:rsidR="009A5B57" w:rsidRPr="002367BF">
        <w:t xml:space="preserve">Caltex Australia will offer Chevron Group II products, Chevron Neutral Oil 100R, </w:t>
      </w:r>
      <w:r w:rsidR="0023306B">
        <w:t>Chevron Neutral Oil 15</w:t>
      </w:r>
      <w:r w:rsidR="0023306B" w:rsidRPr="002367BF">
        <w:t xml:space="preserve">0R </w:t>
      </w:r>
      <w:r w:rsidR="0023306B">
        <w:t xml:space="preserve">, </w:t>
      </w:r>
      <w:r w:rsidR="009A5B57" w:rsidRPr="002367BF">
        <w:t xml:space="preserve">Chevron Neutral Oil 220R and Chevron Neutral Oil 600R.  </w:t>
      </w:r>
    </w:p>
    <w:p w14:paraId="40C52638" w14:textId="77777777" w:rsidR="009D49F6" w:rsidRPr="002367BF" w:rsidRDefault="009D49F6" w:rsidP="00D51230">
      <w:pPr>
        <w:tabs>
          <w:tab w:val="left" w:pos="2160"/>
          <w:tab w:val="left" w:pos="4320"/>
        </w:tabs>
        <w:spacing w:line="276" w:lineRule="auto"/>
        <w:ind w:firstLine="720"/>
      </w:pPr>
    </w:p>
    <w:p w14:paraId="6657FD58" w14:textId="77777777" w:rsidR="00CD5FEA" w:rsidRDefault="00CD5FEA" w:rsidP="00090118">
      <w:pPr>
        <w:tabs>
          <w:tab w:val="left" w:pos="2160"/>
          <w:tab w:val="left" w:pos="4320"/>
        </w:tabs>
        <w:spacing w:line="276" w:lineRule="auto"/>
        <w:ind w:firstLine="720"/>
      </w:pPr>
      <w:r w:rsidRPr="002367BF" w:rsidDel="00CD5FEA">
        <w:t xml:space="preserve"> </w:t>
      </w:r>
      <w:r w:rsidRPr="002367BF">
        <w:t xml:space="preserve">“Caltex’s breadth of expertise, combined with its technical experience and highly efficient national distribution network make it an ideal partner for us in supporting the needs of Australia’s lubricant marketers," said Cary Knuth, </w:t>
      </w:r>
      <w:r>
        <w:t>v</w:t>
      </w:r>
      <w:r w:rsidRPr="002367BF">
        <w:t xml:space="preserve">ice </w:t>
      </w:r>
      <w:r>
        <w:t>p</w:t>
      </w:r>
      <w:r w:rsidRPr="002367BF">
        <w:t>resident, Chevron Base Oils.</w:t>
      </w:r>
    </w:p>
    <w:p w14:paraId="589F125A" w14:textId="77777777" w:rsidR="00705DAC" w:rsidRDefault="00705DAC" w:rsidP="00090118">
      <w:pPr>
        <w:tabs>
          <w:tab w:val="left" w:pos="720"/>
          <w:tab w:val="left" w:pos="2160"/>
          <w:tab w:val="left" w:pos="4320"/>
        </w:tabs>
        <w:spacing w:line="276" w:lineRule="auto"/>
      </w:pPr>
    </w:p>
    <w:p w14:paraId="698FEA6C" w14:textId="77777777" w:rsidR="00E67591" w:rsidRPr="002367BF" w:rsidRDefault="0051228F" w:rsidP="00090118">
      <w:pPr>
        <w:tabs>
          <w:tab w:val="left" w:pos="720"/>
          <w:tab w:val="left" w:pos="2160"/>
          <w:tab w:val="left" w:pos="4320"/>
        </w:tabs>
        <w:spacing w:line="276" w:lineRule="auto"/>
        <w:ind w:firstLine="720"/>
      </w:pPr>
      <w:r w:rsidRPr="002367BF">
        <w:t>Caltex Australia</w:t>
      </w:r>
      <w:r w:rsidR="00626D8E">
        <w:t xml:space="preserve"> (ASX: CTX)</w:t>
      </w:r>
      <w:r w:rsidRPr="002367BF">
        <w:t xml:space="preserve"> </w:t>
      </w:r>
      <w:r w:rsidR="00426D5B">
        <w:t>is</w:t>
      </w:r>
      <w:r w:rsidR="00626D8E">
        <w:t xml:space="preserve"> listed on the Australian Securities Exchange and is therefore</w:t>
      </w:r>
      <w:r w:rsidR="00426D5B">
        <w:t xml:space="preserve"> entirely independent of all other Caltex or Chevron-branded businesse</w:t>
      </w:r>
      <w:r w:rsidR="00626D8E">
        <w:t>s around the world</w:t>
      </w:r>
      <w:r w:rsidR="00426D5B">
        <w:t xml:space="preserve">. </w:t>
      </w:r>
      <w:r w:rsidR="00A61EF9">
        <w:t xml:space="preserve">Caltex Australia’s </w:t>
      </w:r>
      <w:r w:rsidRPr="002367BF">
        <w:t xml:space="preserve">base oil distribution business is </w:t>
      </w:r>
      <w:r w:rsidR="00A61EF9">
        <w:t xml:space="preserve">also managed separately from its </w:t>
      </w:r>
      <w:r w:rsidRPr="002367BF">
        <w:t>finished lubricants business</w:t>
      </w:r>
      <w:r w:rsidR="00A61EF9">
        <w:t xml:space="preserve">. The two divisions </w:t>
      </w:r>
      <w:r w:rsidRPr="002367BF">
        <w:t>benefit from Caltex</w:t>
      </w:r>
      <w:r w:rsidR="00A61EF9">
        <w:t xml:space="preserve"> Australia</w:t>
      </w:r>
      <w:r w:rsidRPr="002367BF">
        <w:t>’s large-scale operations and local knowledge of the Australian market. The base oil distribution organization has put in place highly experienced technical and supply chain teams that are well versed in the unique challenges in the country.</w:t>
      </w:r>
      <w:r w:rsidR="004A78DB" w:rsidRPr="002367BF">
        <w:t xml:space="preserve"> </w:t>
      </w:r>
    </w:p>
    <w:p w14:paraId="5121285F" w14:textId="77777777" w:rsidR="003260FB" w:rsidRDefault="003260FB" w:rsidP="00D51230">
      <w:pPr>
        <w:autoSpaceDE w:val="0"/>
        <w:autoSpaceDN w:val="0"/>
        <w:adjustRightInd w:val="0"/>
        <w:spacing w:line="276" w:lineRule="auto"/>
        <w:rPr>
          <w:color w:val="000000"/>
        </w:rPr>
      </w:pPr>
    </w:p>
    <w:p w14:paraId="00169703" w14:textId="77777777" w:rsidR="00CD5FEA" w:rsidRPr="002367BF" w:rsidRDefault="00CD5FEA" w:rsidP="00CD5FEA">
      <w:pPr>
        <w:tabs>
          <w:tab w:val="left" w:pos="2160"/>
          <w:tab w:val="left" w:pos="4320"/>
        </w:tabs>
        <w:spacing w:line="276" w:lineRule="auto"/>
        <w:ind w:firstLine="720"/>
      </w:pPr>
      <w:r w:rsidRPr="002367BF">
        <w:t xml:space="preserve">“We are </w:t>
      </w:r>
      <w:r>
        <w:t>pleased</w:t>
      </w:r>
      <w:r w:rsidRPr="002367BF">
        <w:t xml:space="preserve"> to represent C</w:t>
      </w:r>
      <w:r>
        <w:t>hevron Group II base oils</w:t>
      </w:r>
      <w:r w:rsidRPr="002367BF">
        <w:t xml:space="preserve">,” </w:t>
      </w:r>
      <w:r w:rsidRPr="00C43FA4">
        <w:t xml:space="preserve">said </w:t>
      </w:r>
      <w:r>
        <w:t xml:space="preserve">Bruce Rosengarten, </w:t>
      </w:r>
      <w:r w:rsidR="00426D5B">
        <w:t xml:space="preserve">Caltex Australia’s </w:t>
      </w:r>
      <w:r>
        <w:t>executive general manager</w:t>
      </w:r>
      <w:r w:rsidR="00426D5B">
        <w:t xml:space="preserve"> commercial</w:t>
      </w:r>
      <w:r w:rsidRPr="002367BF">
        <w:t>. “</w:t>
      </w:r>
      <w:r>
        <w:t>This agreement allows us to</w:t>
      </w:r>
      <w:r w:rsidRPr="002367BF">
        <w:t xml:space="preserve"> </w:t>
      </w:r>
      <w:r>
        <w:t xml:space="preserve">offer </w:t>
      </w:r>
      <w:r w:rsidR="00367596" w:rsidRPr="002367BF">
        <w:t>more than base oil to our customers</w:t>
      </w:r>
      <w:r w:rsidR="00367596">
        <w:t>.</w:t>
      </w:r>
      <w:r w:rsidR="00367596" w:rsidRPr="002367BF">
        <w:t xml:space="preserve"> </w:t>
      </w:r>
      <w:r w:rsidR="00367596">
        <w:t>W</w:t>
      </w:r>
      <w:r w:rsidR="00367596" w:rsidRPr="002367BF">
        <w:t xml:space="preserve">e </w:t>
      </w:r>
      <w:r w:rsidR="00367596">
        <w:t xml:space="preserve">can </w:t>
      </w:r>
      <w:r w:rsidR="00367596" w:rsidRPr="002367BF">
        <w:t>offer access to Chevron’s broad portfolio of approvals in place</w:t>
      </w:r>
      <w:r w:rsidR="00367596">
        <w:t xml:space="preserve">, </w:t>
      </w:r>
      <w:r w:rsidR="00367596" w:rsidRPr="002367BF">
        <w:t xml:space="preserve">which can reduce </w:t>
      </w:r>
      <w:r w:rsidR="00367596">
        <w:t>customer</w:t>
      </w:r>
      <w:r w:rsidR="00367596" w:rsidRPr="002367BF">
        <w:t xml:space="preserve"> costs and complexity in qualifying new formulations</w:t>
      </w:r>
      <w:r w:rsidR="00367596">
        <w:t>.</w:t>
      </w:r>
      <w:r w:rsidRPr="002367BF">
        <w:t xml:space="preserve"> </w:t>
      </w:r>
      <w:r w:rsidR="00597DAA">
        <w:t xml:space="preserve">And </w:t>
      </w:r>
      <w:r w:rsidRPr="002367BF">
        <w:t xml:space="preserve">with three plants producing base oils with the same specs, </w:t>
      </w:r>
      <w:r w:rsidR="00090118">
        <w:t>we will</w:t>
      </w:r>
      <w:r w:rsidRPr="002367BF">
        <w:t xml:space="preserve"> have supply to meet our customers’ needs.”</w:t>
      </w:r>
    </w:p>
    <w:p w14:paraId="7DAC010A" w14:textId="77777777" w:rsidR="00CD5FEA" w:rsidRPr="002367BF" w:rsidRDefault="00CD5FEA" w:rsidP="00D51230">
      <w:pPr>
        <w:autoSpaceDE w:val="0"/>
        <w:autoSpaceDN w:val="0"/>
        <w:adjustRightInd w:val="0"/>
        <w:spacing w:line="276" w:lineRule="auto"/>
        <w:rPr>
          <w:color w:val="000000"/>
        </w:rPr>
      </w:pPr>
    </w:p>
    <w:p w14:paraId="4AB0CA41" w14:textId="77777777" w:rsidR="0004161F" w:rsidRPr="002367BF" w:rsidRDefault="0004161F" w:rsidP="0004161F">
      <w:pPr>
        <w:tabs>
          <w:tab w:val="left" w:pos="720"/>
          <w:tab w:val="left" w:pos="2160"/>
          <w:tab w:val="left" w:pos="4320"/>
        </w:tabs>
        <w:spacing w:line="360" w:lineRule="auto"/>
        <w:ind w:firstLine="720"/>
      </w:pPr>
      <w:r w:rsidRPr="002367BF">
        <w:t xml:space="preserve">About Chevron Corporation: </w:t>
      </w:r>
    </w:p>
    <w:p w14:paraId="7B4BFD32" w14:textId="77777777" w:rsidR="0004161F" w:rsidRDefault="0004161F" w:rsidP="0004161F">
      <w:pPr>
        <w:tabs>
          <w:tab w:val="left" w:pos="720"/>
          <w:tab w:val="left" w:pos="2160"/>
          <w:tab w:val="left" w:pos="4320"/>
        </w:tabs>
        <w:spacing w:line="360" w:lineRule="auto"/>
        <w:ind w:firstLine="720"/>
      </w:pPr>
      <w:r w:rsidRPr="002367BF">
        <w:lastRenderedPageBreak/>
        <w:t xml:space="preserve">Chevron Corporation is one of the world's leading integrated energy companies. Through its subsidiaries that conduct business worldwide, the company is involved in virtually every facet of the energy industry. Chevron explores for, produces and transports crude oil and natural gas; refines, markets and distributes transportation fuels and lubricants; manufactures and sells petrochemicals and additives; generates power and produces geothermal energy; and develops and deploys technologies that enhance business value in every aspect of the company's operations. Chevron is based in San Ramon, Calif. More information about Chevron is available at </w:t>
      </w:r>
      <w:hyperlink r:id="rId8" w:history="1">
        <w:r w:rsidRPr="005B6580">
          <w:rPr>
            <w:rStyle w:val="Hyperlink"/>
          </w:rPr>
          <w:t>www.chevron.com</w:t>
        </w:r>
      </w:hyperlink>
      <w:r w:rsidRPr="005B6580">
        <w:t>.</w:t>
      </w:r>
    </w:p>
    <w:p w14:paraId="2D3D6259" w14:textId="77777777" w:rsidR="00426D5B" w:rsidRDefault="00426D5B" w:rsidP="0004161F">
      <w:pPr>
        <w:tabs>
          <w:tab w:val="left" w:pos="720"/>
          <w:tab w:val="left" w:pos="2160"/>
          <w:tab w:val="left" w:pos="4320"/>
        </w:tabs>
        <w:spacing w:line="360" w:lineRule="auto"/>
        <w:ind w:firstLine="720"/>
      </w:pPr>
    </w:p>
    <w:p w14:paraId="26F2BB7D" w14:textId="77777777" w:rsidR="00426D5B" w:rsidRDefault="00B7775C" w:rsidP="00B7775C">
      <w:pPr>
        <w:tabs>
          <w:tab w:val="left" w:pos="720"/>
          <w:tab w:val="left" w:pos="2160"/>
          <w:tab w:val="left" w:pos="4320"/>
        </w:tabs>
        <w:spacing w:line="360" w:lineRule="auto"/>
      </w:pPr>
      <w:r>
        <w:tab/>
      </w:r>
      <w:r w:rsidR="00426D5B">
        <w:t xml:space="preserve">About Caltex Australia </w:t>
      </w:r>
    </w:p>
    <w:p w14:paraId="490F6501" w14:textId="77777777" w:rsidR="0013188F" w:rsidRDefault="0013188F" w:rsidP="00B7775C">
      <w:pPr>
        <w:tabs>
          <w:tab w:val="left" w:pos="720"/>
          <w:tab w:val="left" w:pos="2160"/>
          <w:tab w:val="left" w:pos="4320"/>
        </w:tabs>
        <w:spacing w:line="360" w:lineRule="auto"/>
      </w:pPr>
    </w:p>
    <w:p w14:paraId="6EA2B2D9" w14:textId="77777777" w:rsidR="00426D5B" w:rsidRPr="00AF5747" w:rsidRDefault="00B7775C" w:rsidP="00B7775C">
      <w:pPr>
        <w:tabs>
          <w:tab w:val="left" w:pos="720"/>
          <w:tab w:val="left" w:pos="2160"/>
          <w:tab w:val="left" w:pos="4320"/>
        </w:tabs>
        <w:spacing w:line="360" w:lineRule="auto"/>
      </w:pPr>
      <w:r>
        <w:tab/>
      </w:r>
      <w:r w:rsidR="00426D5B">
        <w:t>A proud and iconic Australian company, Caltex has grown to become the nation’s leading transport fuel supplier, with a vast network of approximately 1,900 company-owned, franchised or affiliated sites. Caltex aims to be the market leader in complex supply chains and the evolving convenience marketplace, by delivering the fuel and other everyday needs of its diverse customers through its networks. With a history tracing back to 1900, Caltex has safely and reliably fueled the needs of Australian motorists and businesses for more than a century. It operates as a refiner, importer and marketer of fuels and lubricants. It is listed as CTX on the Australian Securities Exchange.</w:t>
      </w:r>
    </w:p>
    <w:p w14:paraId="72B426B7" w14:textId="77777777" w:rsidR="0004161F" w:rsidRPr="00AF5747" w:rsidRDefault="0004161F" w:rsidP="0004161F">
      <w:pPr>
        <w:tabs>
          <w:tab w:val="left" w:pos="720"/>
          <w:tab w:val="left" w:pos="2160"/>
          <w:tab w:val="left" w:pos="4320"/>
        </w:tabs>
        <w:spacing w:line="360" w:lineRule="auto"/>
      </w:pPr>
    </w:p>
    <w:p w14:paraId="043E2C4D" w14:textId="77777777" w:rsidR="0004161F" w:rsidRPr="00AF5747" w:rsidRDefault="0004161F" w:rsidP="0004161F">
      <w:pPr>
        <w:widowControl w:val="0"/>
        <w:autoSpaceDE w:val="0"/>
        <w:autoSpaceDN w:val="0"/>
        <w:adjustRightInd w:val="0"/>
        <w:spacing w:line="360" w:lineRule="auto"/>
        <w:jc w:val="center"/>
        <w:rPr>
          <w:color w:val="000000"/>
        </w:rPr>
      </w:pPr>
      <w:r w:rsidRPr="00AF5747">
        <w:t>#  #  #</w:t>
      </w:r>
    </w:p>
    <w:p w14:paraId="60363626" w14:textId="77777777" w:rsidR="0004161F" w:rsidRPr="00AF5747" w:rsidRDefault="0004161F" w:rsidP="0004161F">
      <w:pPr>
        <w:widowControl w:val="0"/>
        <w:autoSpaceDE w:val="0"/>
        <w:autoSpaceDN w:val="0"/>
        <w:adjustRightInd w:val="0"/>
        <w:spacing w:line="360" w:lineRule="auto"/>
        <w:jc w:val="center"/>
      </w:pPr>
    </w:p>
    <w:p w14:paraId="1AC84824" w14:textId="77777777" w:rsidR="0004161F" w:rsidRPr="00AF5747" w:rsidRDefault="0004161F" w:rsidP="0004161F">
      <w:pPr>
        <w:pStyle w:val="ImmediateRelease"/>
        <w:rPr>
          <w:sz w:val="20"/>
        </w:rPr>
      </w:pPr>
      <w:r w:rsidRPr="00AF5747">
        <w:rPr>
          <w:caps w:val="0"/>
          <w:sz w:val="20"/>
        </w:rPr>
        <w:t xml:space="preserve">Contact: </w:t>
      </w:r>
      <w:r>
        <w:rPr>
          <w:caps w:val="0"/>
          <w:sz w:val="20"/>
        </w:rPr>
        <w:t xml:space="preserve">   </w:t>
      </w:r>
      <w:r w:rsidRPr="0004161F">
        <w:rPr>
          <w:caps w:val="0"/>
          <w:sz w:val="20"/>
        </w:rPr>
        <w:t>Wai Fong Chen +65 6 318 1628</w:t>
      </w:r>
      <w:r>
        <w:rPr>
          <w:caps w:val="0"/>
          <w:sz w:val="20"/>
        </w:rPr>
        <w:t xml:space="preserve">     </w:t>
      </w:r>
      <w:r w:rsidRPr="00D51230">
        <w:rPr>
          <w:caps w:val="0"/>
          <w:sz w:val="24"/>
          <w:szCs w:val="24"/>
        </w:rPr>
        <w:t>waifong.chen@chevron.com</w:t>
      </w:r>
    </w:p>
    <w:p w14:paraId="10845BFB" w14:textId="77777777" w:rsidR="0004161F" w:rsidRPr="00AF5747" w:rsidRDefault="0004161F" w:rsidP="0004161F">
      <w:pPr>
        <w:tabs>
          <w:tab w:val="left" w:pos="720"/>
          <w:tab w:val="left" w:pos="2160"/>
          <w:tab w:val="left" w:pos="4320"/>
        </w:tabs>
        <w:spacing w:line="320" w:lineRule="atLeast"/>
        <w:jc w:val="both"/>
      </w:pPr>
    </w:p>
    <w:p w14:paraId="40C969ED" w14:textId="77777777" w:rsidR="0004161F" w:rsidRPr="00AF5747" w:rsidRDefault="0004161F" w:rsidP="0004161F">
      <w:pPr>
        <w:rPr>
          <w:i/>
        </w:rPr>
      </w:pPr>
      <w:r w:rsidRPr="00AF5747">
        <w:rPr>
          <w:i/>
        </w:rPr>
        <w:t xml:space="preserve">Cautionary Statement Relevant to Forward-Looking Information for the Purpose of "Safe Harbor" Provisions of the Private Securities Litigation Reform Act of 1995. </w:t>
      </w:r>
    </w:p>
    <w:p w14:paraId="09F1765A" w14:textId="77777777" w:rsidR="0004161F" w:rsidRPr="00AF5747" w:rsidRDefault="0004161F" w:rsidP="0004161F">
      <w:pPr>
        <w:rPr>
          <w:i/>
        </w:rPr>
      </w:pPr>
    </w:p>
    <w:p w14:paraId="0F561897" w14:textId="77777777" w:rsidR="0004161F" w:rsidRPr="00AF5747" w:rsidRDefault="0004161F" w:rsidP="0004161F">
      <w:pPr>
        <w:rPr>
          <w:i/>
        </w:rPr>
      </w:pPr>
      <w:r w:rsidRPr="00AF5747">
        <w:rPr>
          <w:i/>
        </w:rPr>
        <w:t>Some of the items discussed in this press release are forward-looking statements about Chevron's activities in the United States. Words such as "anticipates," "expects," "intends," "plans," "targets," "projects," "believes," "seeks," "estimates" and similar expressions are intended to identify such forward- looking statements. The statements are based upon management's current expectations, estimates and projections; are not guarantees of future performance; and are subject to certain risks, uncertainties and other factors, some of which are beyond the company's control and are difficult to predict. You should not place undue reliance on these forward-looking statements, which speak only as of the date of this press release. Unless legally required, Chevron undertakes no obligation to update publicly any forward-looking statements, whether as a result of new information, future events or otherwise.</w:t>
      </w:r>
    </w:p>
    <w:p w14:paraId="74FA0DAD" w14:textId="77777777" w:rsidR="00E67591" w:rsidRPr="00D51230" w:rsidRDefault="00E67591" w:rsidP="00D51230">
      <w:pPr>
        <w:tabs>
          <w:tab w:val="left" w:pos="720"/>
          <w:tab w:val="left" w:pos="2160"/>
          <w:tab w:val="left" w:pos="4320"/>
        </w:tabs>
        <w:spacing w:line="276" w:lineRule="auto"/>
        <w:rPr>
          <w:sz w:val="24"/>
          <w:szCs w:val="24"/>
        </w:rPr>
      </w:pPr>
    </w:p>
    <w:p w14:paraId="37EBA839" w14:textId="77777777" w:rsidR="00E67591" w:rsidRPr="00D51230" w:rsidRDefault="00E67591" w:rsidP="00D51230">
      <w:pPr>
        <w:widowControl w:val="0"/>
        <w:autoSpaceDE w:val="0"/>
        <w:autoSpaceDN w:val="0"/>
        <w:adjustRightInd w:val="0"/>
        <w:spacing w:line="276" w:lineRule="auto"/>
        <w:jc w:val="center"/>
        <w:rPr>
          <w:sz w:val="24"/>
          <w:szCs w:val="24"/>
        </w:rPr>
      </w:pPr>
      <w:r w:rsidRPr="00D51230">
        <w:rPr>
          <w:sz w:val="24"/>
          <w:szCs w:val="24"/>
        </w:rPr>
        <w:t>#  #  #</w:t>
      </w:r>
    </w:p>
    <w:p w14:paraId="66A16EA4" w14:textId="77777777" w:rsidR="00E67591" w:rsidRPr="00D51230" w:rsidRDefault="00E67591" w:rsidP="00D51230">
      <w:pPr>
        <w:widowControl w:val="0"/>
        <w:autoSpaceDE w:val="0"/>
        <w:autoSpaceDN w:val="0"/>
        <w:adjustRightInd w:val="0"/>
        <w:spacing w:line="276" w:lineRule="auto"/>
        <w:jc w:val="center"/>
        <w:rPr>
          <w:sz w:val="24"/>
          <w:szCs w:val="24"/>
        </w:rPr>
      </w:pPr>
    </w:p>
    <w:p w14:paraId="5A1E84E9" w14:textId="77777777" w:rsidR="00E014B0" w:rsidRPr="00D51230" w:rsidRDefault="00E014B0" w:rsidP="00D51230">
      <w:pPr>
        <w:autoSpaceDE w:val="0"/>
        <w:autoSpaceDN w:val="0"/>
        <w:adjustRightInd w:val="0"/>
        <w:spacing w:line="276" w:lineRule="auto"/>
        <w:rPr>
          <w:i/>
          <w:iCs/>
          <w:sz w:val="24"/>
          <w:szCs w:val="24"/>
        </w:rPr>
      </w:pPr>
    </w:p>
    <w:p w14:paraId="5FDDB7BC" w14:textId="77777777" w:rsidR="00E014B0" w:rsidRPr="00421725" w:rsidRDefault="00E014B0" w:rsidP="00123A92">
      <w:pPr>
        <w:autoSpaceDE w:val="0"/>
        <w:autoSpaceDN w:val="0"/>
        <w:adjustRightInd w:val="0"/>
        <w:rPr>
          <w:i/>
          <w:sz w:val="24"/>
          <w:szCs w:val="24"/>
        </w:rPr>
      </w:pPr>
    </w:p>
    <w:p w14:paraId="57DE8003" w14:textId="77777777" w:rsidR="00E014B0" w:rsidRDefault="00E014B0">
      <w:bookmarkStart w:id="1" w:name="bmkTitle"/>
      <w:bookmarkEnd w:id="1"/>
    </w:p>
    <w:sectPr w:rsidR="00E014B0" w:rsidSect="00E67591">
      <w:headerReference w:type="default" r:id="rId9"/>
      <w:headerReference w:type="first" r:id="rId10"/>
      <w:footerReference w:type="first" r:id="rId11"/>
      <w:pgSz w:w="12240" w:h="15840" w:code="1"/>
      <w:pgMar w:top="1260" w:right="1440" w:bottom="720" w:left="144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3F99C7" w14:textId="77777777" w:rsidR="00B0115C" w:rsidRDefault="00B0115C">
      <w:r>
        <w:separator/>
      </w:r>
    </w:p>
  </w:endnote>
  <w:endnote w:type="continuationSeparator" w:id="0">
    <w:p w14:paraId="6D63FC0B" w14:textId="77777777" w:rsidR="00B0115C" w:rsidRDefault="00B01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E7F25C" w14:textId="77777777" w:rsidR="00555F92" w:rsidRDefault="00555F92" w:rsidP="00E67591">
    <w:pPr>
      <w:pStyle w:val="Footer"/>
      <w:jc w:val="center"/>
    </w:pPr>
    <w:r>
      <w:t>-MORE-</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14BDA6" w14:textId="77777777" w:rsidR="00B0115C" w:rsidRDefault="00B0115C">
      <w:r>
        <w:separator/>
      </w:r>
    </w:p>
  </w:footnote>
  <w:footnote w:type="continuationSeparator" w:id="0">
    <w:p w14:paraId="47CA2468" w14:textId="77777777" w:rsidR="00B0115C" w:rsidRDefault="00B0115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E0F72" w14:textId="77777777" w:rsidR="00555F92" w:rsidRPr="00321D93" w:rsidRDefault="00555F92" w:rsidP="00E67591">
    <w:pPr>
      <w:pStyle w:val="Header"/>
      <w:jc w:val="center"/>
    </w:pPr>
    <w:r>
      <w:rPr>
        <w:rStyle w:val="PageNumber"/>
      </w:rPr>
      <w:t>-</w:t>
    </w:r>
    <w:r>
      <w:rPr>
        <w:rStyle w:val="PageNumber"/>
      </w:rPr>
      <w:fldChar w:fldCharType="begin"/>
    </w:r>
    <w:r>
      <w:rPr>
        <w:rStyle w:val="PageNumber"/>
      </w:rPr>
      <w:instrText xml:space="preserve"> PAGE </w:instrText>
    </w:r>
    <w:r>
      <w:rPr>
        <w:rStyle w:val="PageNumber"/>
      </w:rPr>
      <w:fldChar w:fldCharType="separate"/>
    </w:r>
    <w:r w:rsidR="00B77E1F">
      <w:rPr>
        <w:rStyle w:val="PageNumber"/>
        <w:noProof/>
      </w:rPr>
      <w:t>2</w:t>
    </w:r>
    <w:r>
      <w:rPr>
        <w:rStyle w:val="PageNumber"/>
      </w:rPr>
      <w:fldChar w:fldCharType="end"/>
    </w:r>
    <w:r>
      <w:rPr>
        <w:rStyle w:val="PageNumber"/>
      </w:rPr>
      <w:t>-</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ACA6C2" w14:textId="77777777" w:rsidR="00555F92" w:rsidRDefault="00555F92">
    <w:pPr>
      <w:pStyle w:val="Header"/>
    </w:pPr>
    <w:r>
      <w:rPr>
        <w:noProof/>
      </w:rPr>
      <w:drawing>
        <wp:anchor distT="0" distB="0" distL="114300" distR="114300" simplePos="0" relativeHeight="251658240" behindDoc="0" locked="0" layoutInCell="1" allowOverlap="1" wp14:anchorId="0B79232D" wp14:editId="41472D3F">
          <wp:simplePos x="0" y="0"/>
          <wp:positionH relativeFrom="column">
            <wp:posOffset>-9525</wp:posOffset>
          </wp:positionH>
          <wp:positionV relativeFrom="paragraph">
            <wp:posOffset>2120900</wp:posOffset>
          </wp:positionV>
          <wp:extent cx="1883410" cy="300355"/>
          <wp:effectExtent l="19050" t="0" r="2540" b="0"/>
          <wp:wrapNone/>
          <wp:docPr id="2" name="Picture 2" descr="n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rr"/>
                  <pic:cNvPicPr>
                    <a:picLocks noChangeAspect="1" noChangeArrowheads="1"/>
                  </pic:cNvPicPr>
                </pic:nvPicPr>
                <pic:blipFill>
                  <a:blip r:embed="rId1"/>
                  <a:srcRect/>
                  <a:stretch>
                    <a:fillRect/>
                  </a:stretch>
                </pic:blipFill>
                <pic:spPr bwMode="auto">
                  <a:xfrm>
                    <a:off x="0" y="0"/>
                    <a:ext cx="1883410" cy="300355"/>
                  </a:xfrm>
                  <a:prstGeom prst="rect">
                    <a:avLst/>
                  </a:prstGeom>
                  <a:noFill/>
                  <a:ln w="9525">
                    <a:noFill/>
                    <a:miter lim="800000"/>
                    <a:headEnd/>
                    <a:tailEnd/>
                  </a:ln>
                </pic:spPr>
              </pic:pic>
            </a:graphicData>
          </a:graphic>
        </wp:anchor>
      </w:drawing>
    </w:r>
  </w:p>
  <w:p w14:paraId="6D861FB7" w14:textId="77777777" w:rsidR="00555F92" w:rsidRDefault="00555F92">
    <w:pPr>
      <w:pStyle w:val="Header"/>
    </w:pPr>
  </w:p>
  <w:p w14:paraId="4D7B9502" w14:textId="77777777" w:rsidR="00555F92" w:rsidRDefault="00555F92">
    <w:pPr>
      <w:pStyle w:val="Header"/>
    </w:pPr>
    <w:r>
      <w:rPr>
        <w:noProof/>
      </w:rPr>
      <mc:AlternateContent>
        <mc:Choice Requires="wps">
          <w:drawing>
            <wp:anchor distT="0" distB="0" distL="114300" distR="114300" simplePos="0" relativeHeight="251657216" behindDoc="0" locked="0" layoutInCell="1" allowOverlap="1" wp14:anchorId="629F90B1" wp14:editId="1E7EC918">
              <wp:simplePos x="0" y="0"/>
              <wp:positionH relativeFrom="page">
                <wp:posOffset>5080635</wp:posOffset>
              </wp:positionH>
              <wp:positionV relativeFrom="page">
                <wp:posOffset>861060</wp:posOffset>
              </wp:positionV>
              <wp:extent cx="1828800" cy="868045"/>
              <wp:effectExtent l="3810" t="3810" r="0" b="4445"/>
              <wp:wrapNone/>
              <wp:docPr id="1" name="boxCompany"/>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86804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wps:spPr>
                    <wps:txbx>
                      <w:txbxContent>
                        <w:p w14:paraId="00F55BB0" w14:textId="77777777" w:rsidR="00555F92" w:rsidRPr="00AA6EA6" w:rsidRDefault="00555F92" w:rsidP="00E67591">
                          <w:pPr>
                            <w:pStyle w:val="Address"/>
                            <w:rPr>
                              <w:rFonts w:ascii="TimesNewRomanPS" w:hAnsi="TimesNewRomanPS"/>
                              <w:b/>
                            </w:rPr>
                          </w:pPr>
                          <w:bookmarkStart w:id="2" w:name="bmkCompanyBlock"/>
                          <w:r w:rsidRPr="00AA6EA6">
                            <w:rPr>
                              <w:rFonts w:ascii="TimesNewRomanPS" w:hAnsi="TimesNewRomanPS"/>
                              <w:b/>
                            </w:rPr>
                            <w:t>Policy, Government and Public Affairs</w:t>
                          </w:r>
                        </w:p>
                        <w:bookmarkEnd w:id="2"/>
                        <w:p w14:paraId="5FCB2ABB" w14:textId="77777777" w:rsidR="00555F92" w:rsidRPr="00AA6EA6" w:rsidRDefault="00555F92" w:rsidP="00E67591">
                          <w:pPr>
                            <w:pStyle w:val="CompanyName"/>
                            <w:rPr>
                              <w:b w:val="0"/>
                            </w:rPr>
                          </w:pPr>
                          <w:r w:rsidRPr="00AA6EA6">
                            <w:rPr>
                              <w:b w:val="0"/>
                            </w:rPr>
                            <w:t>Chevron Corporation</w:t>
                          </w:r>
                        </w:p>
                        <w:p w14:paraId="10331FD4" w14:textId="77777777" w:rsidR="00555F92" w:rsidRDefault="00555F92" w:rsidP="00E67591">
                          <w:pPr>
                            <w:pStyle w:val="Address"/>
                            <w:rPr>
                              <w:rFonts w:ascii="TimesNewRomanPS" w:hAnsi="TimesNewRomanPS"/>
                            </w:rPr>
                          </w:pPr>
                          <w:bookmarkStart w:id="3" w:name="bmkHeaderFirstAddress"/>
                          <w:r>
                            <w:rPr>
                              <w:rFonts w:ascii="TimesNewRomanPS" w:hAnsi="TimesNewRomanPS"/>
                            </w:rPr>
                            <w:t>P.O. Box 6078</w:t>
                          </w:r>
                        </w:p>
                        <w:p w14:paraId="1458C96E" w14:textId="77777777" w:rsidR="00555F92" w:rsidRDefault="00555F92" w:rsidP="00E67591">
                          <w:pPr>
                            <w:pStyle w:val="Address"/>
                            <w:rPr>
                              <w:rFonts w:ascii="TimesNewRomanPS" w:hAnsi="TimesNewRomanPS"/>
                            </w:rPr>
                          </w:pPr>
                          <w:r>
                            <w:rPr>
                              <w:rFonts w:ascii="TimesNewRomanPS" w:hAnsi="TimesNewRomanPS"/>
                            </w:rPr>
                            <w:t>San Ramon, CA 94583-0778</w:t>
                          </w:r>
                          <w:bookmarkEnd w:id="3"/>
                        </w:p>
                        <w:p w14:paraId="2D344A64" w14:textId="77777777" w:rsidR="00555F92" w:rsidRDefault="00555F92" w:rsidP="00E67591">
                          <w:pPr>
                            <w:pStyle w:val="Address"/>
                          </w:pPr>
                          <w:bookmarkStart w:id="4" w:name="bmkHeaderFirstURL"/>
                          <w:r>
                            <w:rPr>
                              <w:rFonts w:ascii="TimesNewRomanPS" w:hAnsi="TimesNewRomanPS"/>
                            </w:rPr>
                            <w:t>www.chevron.com</w:t>
                          </w:r>
                          <w:bookmarkEnd w:id="4"/>
                        </w:p>
                        <w:p w14:paraId="4A16B877" w14:textId="77777777" w:rsidR="00555F92" w:rsidRDefault="00555F92">
                          <w:pPr>
                            <w:pStyle w:val="CHXPersonal"/>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boxCompany" o:spid="_x0000_s1026" type="#_x0000_t202" style="position:absolute;margin-left:400.05pt;margin-top:67.8pt;width:2in;height:68.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" filled="f" stroked="f">
              <v:textbox inset="0,0,0,0">
                <w:txbxContent>
                  <w:p w:rsidR="00555F92" w:rsidRPr="00AA6EA6" w:rsidRDefault="00555F92" w:rsidP="00E67591">
                    <w:pPr>
                      <w:pStyle w:val="Address"/>
                      <w:rPr>
                        <w:rFonts w:ascii="TimesNewRomanPS" w:hAnsi="TimesNewRomanPS"/>
                        <w:b/>
                      </w:rPr>
                    </w:pPr>
                    <w:bookmarkStart w:id="4" w:name="bmkCompanyBlock"/>
                    <w:r w:rsidRPr="00AA6EA6">
                      <w:rPr>
                        <w:rFonts w:ascii="TimesNewRomanPS" w:hAnsi="TimesNewRomanPS"/>
                        <w:b/>
                      </w:rPr>
                      <w:t>Policy, Government and Public Affairs</w:t>
                    </w:r>
                  </w:p>
                  <w:bookmarkEnd w:id="4"/>
                  <w:p w:rsidR="00555F92" w:rsidRPr="00AA6EA6" w:rsidRDefault="00555F92" w:rsidP="00E67591">
                    <w:pPr>
                      <w:pStyle w:val="CompanyName"/>
                      <w:rPr>
                        <w:b w:val="0"/>
                      </w:rPr>
                    </w:pPr>
                    <w:r w:rsidRPr="00AA6EA6">
                      <w:rPr>
                        <w:b w:val="0"/>
                      </w:rPr>
                      <w:t>Chevron Corporation</w:t>
                    </w:r>
                  </w:p>
                  <w:p w:rsidR="00555F92" w:rsidRDefault="00555F92" w:rsidP="00E67591">
                    <w:pPr>
                      <w:pStyle w:val="Address"/>
                      <w:rPr>
                        <w:rFonts w:ascii="TimesNewRomanPS" w:hAnsi="TimesNewRomanPS"/>
                      </w:rPr>
                    </w:pPr>
                    <w:bookmarkStart w:id="5" w:name="bmkHeaderFirstAddress"/>
                    <w:r>
                      <w:rPr>
                        <w:rFonts w:ascii="TimesNewRomanPS" w:hAnsi="TimesNewRomanPS"/>
                      </w:rPr>
                      <w:t>P.O. Box 6078</w:t>
                    </w:r>
                  </w:p>
                  <w:p w:rsidR="00555F92" w:rsidRDefault="00555F92" w:rsidP="00E67591">
                    <w:pPr>
                      <w:pStyle w:val="Address"/>
                      <w:rPr>
                        <w:rFonts w:ascii="TimesNewRomanPS" w:hAnsi="TimesNewRomanPS"/>
                      </w:rPr>
                    </w:pPr>
                    <w:r>
                      <w:rPr>
                        <w:rFonts w:ascii="TimesNewRomanPS" w:hAnsi="TimesNewRomanPS"/>
                      </w:rPr>
                      <w:t>San Ramon, CA 94583-0778</w:t>
                    </w:r>
                    <w:bookmarkEnd w:id="5"/>
                  </w:p>
                  <w:p w:rsidR="00555F92" w:rsidRDefault="00555F92" w:rsidP="00E67591">
                    <w:pPr>
                      <w:pStyle w:val="Address"/>
                    </w:pPr>
                    <w:bookmarkStart w:id="6" w:name="bmkHeaderFirstURL"/>
                    <w:r>
                      <w:rPr>
                        <w:rFonts w:ascii="TimesNewRomanPS" w:hAnsi="TimesNewRomanPS"/>
                      </w:rPr>
                      <w:t>www.chevron.com</w:t>
                    </w:r>
                    <w:bookmarkEnd w:id="6"/>
                  </w:p>
                  <w:p w:rsidR="00555F92" w:rsidRDefault="00555F92">
                    <w:pPr>
                      <w:pStyle w:val="CHXPersonal"/>
                    </w:pPr>
                  </w:p>
                </w:txbxContent>
              </v:textbox>
              <w10:wrap anchorx="page" anchory="page"/>
            </v:shape>
          </w:pict>
        </mc:Fallback>
      </mc:AlternateContent>
    </w:r>
  </w:p>
  <w:p w14:paraId="19104C5D" w14:textId="77777777" w:rsidR="00555F92" w:rsidRDefault="00555F92">
    <w:pPr>
      <w:pStyle w:val="Header"/>
    </w:pPr>
  </w:p>
  <w:p w14:paraId="214E4F13" w14:textId="77777777" w:rsidR="00555F92" w:rsidRDefault="00555F92">
    <w:pPr>
      <w:pStyle w:val="Header"/>
      <w:ind w:firstLine="720"/>
    </w:pPr>
  </w:p>
  <w:p w14:paraId="543C43B9" w14:textId="77777777" w:rsidR="00555F92" w:rsidRDefault="00555F92">
    <w:pPr>
      <w:pStyle w:val="Header"/>
    </w:pPr>
  </w:p>
  <w:p w14:paraId="26FEF669" w14:textId="77777777" w:rsidR="00555F92" w:rsidRDefault="00555F92">
    <w:pPr>
      <w:pStyle w:val="Header"/>
    </w:pPr>
  </w:p>
  <w:p w14:paraId="1E3FEAB2" w14:textId="77777777" w:rsidR="00555F92" w:rsidRDefault="00555F92">
    <w:pPr>
      <w:pStyle w:val="Header"/>
    </w:pPr>
  </w:p>
  <w:p w14:paraId="151B6C42" w14:textId="77777777" w:rsidR="00555F92" w:rsidRDefault="00555F92">
    <w:pPr>
      <w:pStyle w:val="Header"/>
    </w:pPr>
  </w:p>
  <w:p w14:paraId="5814DF4A" w14:textId="77777777" w:rsidR="00555F92" w:rsidRDefault="00555F92">
    <w:pPr>
      <w:pStyle w:val="Header"/>
    </w:pPr>
  </w:p>
  <w:p w14:paraId="33C70661" w14:textId="77777777" w:rsidR="00555F92" w:rsidRDefault="00555F92">
    <w:pPr>
      <w:pStyle w:val="Header"/>
    </w:pPr>
  </w:p>
  <w:p w14:paraId="754C91AC" w14:textId="77777777" w:rsidR="00555F92" w:rsidRDefault="00555F92">
    <w:pPr>
      <w:pStyle w:val="Header"/>
    </w:pPr>
  </w:p>
  <w:p w14:paraId="157D7CE8" w14:textId="77777777" w:rsidR="00555F92" w:rsidRDefault="00555F92">
    <w:pPr>
      <w:pStyle w:val="Header"/>
      <w:rPr>
        <w:sz w:val="1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263BDF"/>
    <w:multiLevelType w:val="multilevel"/>
    <w:tmpl w:val="1FA42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hideSpellingErrors/>
  <w:hideGrammaticalErrors/>
  <w:attachedTemplate r:id="rId1"/>
  <w:defaultTabStop w:val="720"/>
  <w:drawingGridHorizontalSpacing w:val="187"/>
  <w:drawingGridVerticalSpacing w:val="187"/>
  <w:displayHorizontalDrawingGridEvery w:val="0"/>
  <w:displayVerticalDrawingGridEvery w:val="0"/>
  <w:doNotUseMarginsForDrawingGridOrigin/>
  <w:drawingGridHorizontalOrigin w:val="1699"/>
  <w:drawingGridVerticalOrigin w:val="1987"/>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67A"/>
    <w:rsid w:val="000109F7"/>
    <w:rsid w:val="0004161F"/>
    <w:rsid w:val="00080302"/>
    <w:rsid w:val="00090118"/>
    <w:rsid w:val="000C64D8"/>
    <w:rsid w:val="000E1C03"/>
    <w:rsid w:val="000F619F"/>
    <w:rsid w:val="00123A92"/>
    <w:rsid w:val="0013188F"/>
    <w:rsid w:val="00134BDC"/>
    <w:rsid w:val="00134FA4"/>
    <w:rsid w:val="001970AD"/>
    <w:rsid w:val="001C1DC7"/>
    <w:rsid w:val="001E0A1A"/>
    <w:rsid w:val="00232285"/>
    <w:rsid w:val="0023306B"/>
    <w:rsid w:val="002367BF"/>
    <w:rsid w:val="00260A62"/>
    <w:rsid w:val="002B24F0"/>
    <w:rsid w:val="002E188C"/>
    <w:rsid w:val="00316686"/>
    <w:rsid w:val="003260FB"/>
    <w:rsid w:val="00367596"/>
    <w:rsid w:val="0039196D"/>
    <w:rsid w:val="00394437"/>
    <w:rsid w:val="00426D5B"/>
    <w:rsid w:val="0044249D"/>
    <w:rsid w:val="00457593"/>
    <w:rsid w:val="0048294C"/>
    <w:rsid w:val="004A78DB"/>
    <w:rsid w:val="00506EA2"/>
    <w:rsid w:val="00510960"/>
    <w:rsid w:val="0051228F"/>
    <w:rsid w:val="00555F92"/>
    <w:rsid w:val="0058567A"/>
    <w:rsid w:val="00585E61"/>
    <w:rsid w:val="00597DAA"/>
    <w:rsid w:val="005A3F34"/>
    <w:rsid w:val="005B2FB0"/>
    <w:rsid w:val="005C7FA5"/>
    <w:rsid w:val="005D29D2"/>
    <w:rsid w:val="00613A0F"/>
    <w:rsid w:val="00626D8E"/>
    <w:rsid w:val="006529B5"/>
    <w:rsid w:val="006E02BE"/>
    <w:rsid w:val="006F7A08"/>
    <w:rsid w:val="00705DAC"/>
    <w:rsid w:val="0071477B"/>
    <w:rsid w:val="007174B5"/>
    <w:rsid w:val="00723BDD"/>
    <w:rsid w:val="008344E3"/>
    <w:rsid w:val="00886745"/>
    <w:rsid w:val="008B7295"/>
    <w:rsid w:val="008D6651"/>
    <w:rsid w:val="008E49A7"/>
    <w:rsid w:val="0093414A"/>
    <w:rsid w:val="009548CA"/>
    <w:rsid w:val="0096001A"/>
    <w:rsid w:val="00983F30"/>
    <w:rsid w:val="009A5B57"/>
    <w:rsid w:val="009C67DA"/>
    <w:rsid w:val="009D49F6"/>
    <w:rsid w:val="00A06C75"/>
    <w:rsid w:val="00A61EF9"/>
    <w:rsid w:val="00A738DF"/>
    <w:rsid w:val="00A97695"/>
    <w:rsid w:val="00AA7CBF"/>
    <w:rsid w:val="00B0115C"/>
    <w:rsid w:val="00B02DC4"/>
    <w:rsid w:val="00B04F61"/>
    <w:rsid w:val="00B06342"/>
    <w:rsid w:val="00B32534"/>
    <w:rsid w:val="00B42006"/>
    <w:rsid w:val="00B7775C"/>
    <w:rsid w:val="00B77E1F"/>
    <w:rsid w:val="00C020BB"/>
    <w:rsid w:val="00C212D6"/>
    <w:rsid w:val="00C43FA4"/>
    <w:rsid w:val="00C5670A"/>
    <w:rsid w:val="00C630DC"/>
    <w:rsid w:val="00C86F55"/>
    <w:rsid w:val="00C925E7"/>
    <w:rsid w:val="00CD5FEA"/>
    <w:rsid w:val="00D02816"/>
    <w:rsid w:val="00D05F6C"/>
    <w:rsid w:val="00D51230"/>
    <w:rsid w:val="00D55F1A"/>
    <w:rsid w:val="00E00348"/>
    <w:rsid w:val="00E014B0"/>
    <w:rsid w:val="00E134DA"/>
    <w:rsid w:val="00E31BBE"/>
    <w:rsid w:val="00E33BB6"/>
    <w:rsid w:val="00E51B44"/>
    <w:rsid w:val="00E67591"/>
    <w:rsid w:val="00F10464"/>
    <w:rsid w:val="00F824B7"/>
    <w:rsid w:val="00F83899"/>
    <w:rsid w:val="00F847B0"/>
    <w:rsid w:val="00F972BC"/>
    <w:rsid w:val="00FD7C8B"/>
    <w:rsid w:val="00FE6868"/>
    <w:rsid w:val="00FF0F94"/>
  </w:rsids>
  <m:mathPr>
    <m:mathFont m:val="Cambria Math"/>
    <m:brkBin m:val="before"/>
    <m:brkBinSub m:val="--"/>
    <m:smallFrac m:val="0"/>
    <m:dispDef m:val="0"/>
    <m:lMargin m:val="0"/>
    <m:rMargin m:val="0"/>
    <m:defJc m:val="centerGroup"/>
    <m:wrapRight/>
    <m:intLim m:val="subSup"/>
    <m:naryLim m:val="subSup"/>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5D544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06342"/>
  </w:style>
  <w:style w:type="paragraph" w:styleId="Heading1">
    <w:name w:val="heading 1"/>
    <w:basedOn w:val="Normal"/>
    <w:next w:val="Normal"/>
    <w:qFormat/>
    <w:rsid w:val="00B06342"/>
    <w:pPr>
      <w:keepNext/>
      <w:outlineLvl w:val="0"/>
    </w:pPr>
    <w:rPr>
      <w:rFonts w:ascii="Verdana" w:hAnsi="Verdana"/>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06342"/>
    <w:pPr>
      <w:tabs>
        <w:tab w:val="center" w:pos="4320"/>
        <w:tab w:val="right" w:pos="8640"/>
      </w:tabs>
    </w:pPr>
  </w:style>
  <w:style w:type="paragraph" w:customStyle="1" w:styleId="Text">
    <w:name w:val="_Text"/>
    <w:basedOn w:val="Normal"/>
    <w:rsid w:val="00B06342"/>
    <w:pPr>
      <w:spacing w:line="260" w:lineRule="exact"/>
    </w:pPr>
    <w:rPr>
      <w:sz w:val="22"/>
    </w:rPr>
  </w:style>
  <w:style w:type="paragraph" w:customStyle="1" w:styleId="Address">
    <w:name w:val="_Address"/>
    <w:basedOn w:val="Normal"/>
    <w:rsid w:val="00B06342"/>
    <w:pPr>
      <w:spacing w:line="200" w:lineRule="exact"/>
    </w:pPr>
    <w:rPr>
      <w:sz w:val="17"/>
    </w:rPr>
  </w:style>
  <w:style w:type="paragraph" w:styleId="Footer">
    <w:name w:val="footer"/>
    <w:basedOn w:val="Normal"/>
    <w:rsid w:val="00B06342"/>
    <w:pPr>
      <w:tabs>
        <w:tab w:val="center" w:pos="4320"/>
        <w:tab w:val="right" w:pos="8640"/>
      </w:tabs>
    </w:pPr>
  </w:style>
  <w:style w:type="character" w:styleId="Hyperlink">
    <w:name w:val="Hyperlink"/>
    <w:basedOn w:val="DefaultParagraphFont"/>
    <w:rsid w:val="00B06342"/>
    <w:rPr>
      <w:color w:val="0000FF"/>
      <w:u w:val="single"/>
    </w:rPr>
  </w:style>
  <w:style w:type="paragraph" w:customStyle="1" w:styleId="CompanyName">
    <w:name w:val="_Company Name"/>
    <w:basedOn w:val="Address"/>
    <w:rsid w:val="00B06342"/>
    <w:rPr>
      <w:b/>
      <w:bCs/>
    </w:rPr>
  </w:style>
  <w:style w:type="paragraph" w:styleId="BodyText">
    <w:name w:val="Body Text"/>
    <w:basedOn w:val="Normal"/>
    <w:rsid w:val="00B06342"/>
    <w:pPr>
      <w:tabs>
        <w:tab w:val="left" w:pos="720"/>
        <w:tab w:val="left" w:pos="2160"/>
        <w:tab w:val="left" w:pos="4320"/>
      </w:tabs>
      <w:spacing w:line="320" w:lineRule="atLeast"/>
    </w:pPr>
    <w:rPr>
      <w:sz w:val="24"/>
    </w:rPr>
  </w:style>
  <w:style w:type="paragraph" w:customStyle="1" w:styleId="NRText">
    <w:name w:val="_NRText"/>
    <w:basedOn w:val="Text"/>
    <w:rsid w:val="00B06342"/>
    <w:pPr>
      <w:spacing w:line="400" w:lineRule="exact"/>
      <w:ind w:firstLine="480"/>
    </w:pPr>
  </w:style>
  <w:style w:type="paragraph" w:customStyle="1" w:styleId="NRTitle">
    <w:name w:val="_NR_Title"/>
    <w:basedOn w:val="NRText"/>
    <w:rsid w:val="00B06342"/>
    <w:pPr>
      <w:jc w:val="center"/>
    </w:pPr>
    <w:rPr>
      <w:b/>
      <w:caps/>
    </w:rPr>
  </w:style>
  <w:style w:type="paragraph" w:customStyle="1" w:styleId="NRSubtitle">
    <w:name w:val="_NR_Subtitle"/>
    <w:basedOn w:val="NRText"/>
    <w:rsid w:val="00B06342"/>
    <w:rPr>
      <w:i/>
    </w:rPr>
  </w:style>
  <w:style w:type="paragraph" w:customStyle="1" w:styleId="ImmediateRelease">
    <w:name w:val="_Immediate Release"/>
    <w:basedOn w:val="NRText"/>
    <w:rsid w:val="00B06342"/>
    <w:pPr>
      <w:ind w:firstLine="0"/>
    </w:pPr>
    <w:rPr>
      <w:b/>
      <w:bCs/>
      <w:caps/>
    </w:rPr>
  </w:style>
  <w:style w:type="paragraph" w:styleId="BodyText2">
    <w:name w:val="Body Text 2"/>
    <w:basedOn w:val="Normal"/>
    <w:rsid w:val="00B06342"/>
    <w:pPr>
      <w:tabs>
        <w:tab w:val="left" w:pos="720"/>
        <w:tab w:val="left" w:pos="2160"/>
        <w:tab w:val="left" w:pos="4320"/>
      </w:tabs>
      <w:spacing w:line="320" w:lineRule="atLeast"/>
      <w:jc w:val="both"/>
    </w:pPr>
    <w:rPr>
      <w:b/>
      <w:sz w:val="24"/>
    </w:rPr>
  </w:style>
  <w:style w:type="paragraph" w:customStyle="1" w:styleId="CHXPersonal">
    <w:name w:val="CHX_Personal"/>
    <w:basedOn w:val="Normal"/>
    <w:rsid w:val="00B06342"/>
    <w:pPr>
      <w:spacing w:line="180" w:lineRule="exact"/>
    </w:pPr>
    <w:rPr>
      <w:rFonts w:ascii="Verdana" w:hAnsi="Verdana"/>
      <w:sz w:val="15"/>
    </w:rPr>
  </w:style>
  <w:style w:type="character" w:styleId="FollowedHyperlink">
    <w:name w:val="FollowedHyperlink"/>
    <w:basedOn w:val="DefaultParagraphFont"/>
    <w:rsid w:val="00B06342"/>
    <w:rPr>
      <w:color w:val="800080"/>
      <w:u w:val="single"/>
    </w:rPr>
  </w:style>
  <w:style w:type="paragraph" w:styleId="BalloonText">
    <w:name w:val="Balloon Text"/>
    <w:basedOn w:val="Normal"/>
    <w:semiHidden/>
    <w:rsid w:val="00A15453"/>
    <w:rPr>
      <w:rFonts w:ascii="Tahoma" w:hAnsi="Tahoma"/>
      <w:sz w:val="16"/>
      <w:szCs w:val="16"/>
    </w:rPr>
  </w:style>
  <w:style w:type="character" w:styleId="CommentReference">
    <w:name w:val="annotation reference"/>
    <w:basedOn w:val="DefaultParagraphFont"/>
    <w:semiHidden/>
    <w:rsid w:val="00DE5A2C"/>
    <w:rPr>
      <w:sz w:val="16"/>
      <w:szCs w:val="16"/>
    </w:rPr>
  </w:style>
  <w:style w:type="character" w:styleId="Emphasis">
    <w:name w:val="Emphasis"/>
    <w:basedOn w:val="DefaultParagraphFont"/>
    <w:qFormat/>
    <w:rsid w:val="00DE5A2C"/>
    <w:rPr>
      <w:i/>
      <w:iCs/>
    </w:rPr>
  </w:style>
  <w:style w:type="character" w:styleId="PageNumber">
    <w:name w:val="page number"/>
    <w:basedOn w:val="DefaultParagraphFont"/>
    <w:rsid w:val="00321D93"/>
  </w:style>
  <w:style w:type="paragraph" w:customStyle="1" w:styleId="tablebody">
    <w:name w:val="tablebody"/>
    <w:basedOn w:val="Normal"/>
    <w:rsid w:val="00471B67"/>
    <w:pPr>
      <w:spacing w:before="100" w:beforeAutospacing="1" w:after="100" w:afterAutospacing="1"/>
    </w:pPr>
    <w:rPr>
      <w:sz w:val="24"/>
      <w:szCs w:val="24"/>
    </w:rPr>
  </w:style>
  <w:style w:type="character" w:styleId="Strong">
    <w:name w:val="Strong"/>
    <w:basedOn w:val="DefaultParagraphFont"/>
    <w:qFormat/>
    <w:rsid w:val="00471B67"/>
    <w:rPr>
      <w:b/>
      <w:bCs/>
    </w:rPr>
  </w:style>
  <w:style w:type="paragraph" w:styleId="CommentText">
    <w:name w:val="annotation text"/>
    <w:basedOn w:val="Normal"/>
    <w:link w:val="CommentTextChar"/>
    <w:rsid w:val="00C212D6"/>
  </w:style>
  <w:style w:type="character" w:customStyle="1" w:styleId="CommentTextChar">
    <w:name w:val="Comment Text Char"/>
    <w:basedOn w:val="DefaultParagraphFont"/>
    <w:link w:val="CommentText"/>
    <w:rsid w:val="00C212D6"/>
  </w:style>
  <w:style w:type="paragraph" w:styleId="CommentSubject">
    <w:name w:val="annotation subject"/>
    <w:basedOn w:val="CommentText"/>
    <w:next w:val="CommentText"/>
    <w:link w:val="CommentSubjectChar"/>
    <w:rsid w:val="00C212D6"/>
    <w:rPr>
      <w:b/>
      <w:bCs/>
    </w:rPr>
  </w:style>
  <w:style w:type="character" w:customStyle="1" w:styleId="CommentSubjectChar">
    <w:name w:val="Comment Subject Char"/>
    <w:basedOn w:val="CommentTextChar"/>
    <w:link w:val="CommentSubject"/>
    <w:rsid w:val="00C212D6"/>
    <w:rPr>
      <w:b/>
      <w:bCs/>
    </w:rPr>
  </w:style>
  <w:style w:type="paragraph" w:styleId="Revision">
    <w:name w:val="Revision"/>
    <w:hidden/>
    <w:semiHidden/>
    <w:rsid w:val="00426D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82214">
      <w:bodyDiv w:val="1"/>
      <w:marLeft w:val="0"/>
      <w:marRight w:val="0"/>
      <w:marTop w:val="0"/>
      <w:marBottom w:val="0"/>
      <w:divBdr>
        <w:top w:val="none" w:sz="0" w:space="0" w:color="auto"/>
        <w:left w:val="none" w:sz="0" w:space="0" w:color="auto"/>
        <w:bottom w:val="none" w:sz="0" w:space="0" w:color="auto"/>
        <w:right w:val="none" w:sz="0" w:space="0" w:color="auto"/>
      </w:divBdr>
    </w:div>
    <w:div w:id="310793965">
      <w:bodyDiv w:val="1"/>
      <w:marLeft w:val="0"/>
      <w:marRight w:val="0"/>
      <w:marTop w:val="0"/>
      <w:marBottom w:val="0"/>
      <w:divBdr>
        <w:top w:val="none" w:sz="0" w:space="0" w:color="auto"/>
        <w:left w:val="none" w:sz="0" w:space="0" w:color="auto"/>
        <w:bottom w:val="none" w:sz="0" w:space="0" w:color="auto"/>
        <w:right w:val="none" w:sz="0" w:space="0" w:color="auto"/>
      </w:divBdr>
      <w:divsChild>
        <w:div w:id="1207596167">
          <w:marLeft w:val="0"/>
          <w:marRight w:val="0"/>
          <w:marTop w:val="0"/>
          <w:marBottom w:val="0"/>
          <w:divBdr>
            <w:top w:val="none" w:sz="0" w:space="0" w:color="auto"/>
            <w:left w:val="none" w:sz="0" w:space="0" w:color="auto"/>
            <w:bottom w:val="none" w:sz="0" w:space="0" w:color="auto"/>
            <w:right w:val="none" w:sz="0" w:space="0" w:color="auto"/>
          </w:divBdr>
          <w:divsChild>
            <w:div w:id="24987361">
              <w:marLeft w:val="0"/>
              <w:marRight w:val="0"/>
              <w:marTop w:val="504"/>
              <w:marBottom w:val="0"/>
              <w:divBdr>
                <w:top w:val="none" w:sz="0" w:space="0" w:color="auto"/>
                <w:left w:val="none" w:sz="0" w:space="0" w:color="auto"/>
                <w:bottom w:val="none" w:sz="0" w:space="0" w:color="auto"/>
                <w:right w:val="none" w:sz="0" w:space="0" w:color="auto"/>
              </w:divBdr>
              <w:divsChild>
                <w:div w:id="117788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045318">
      <w:bodyDiv w:val="1"/>
      <w:marLeft w:val="0"/>
      <w:marRight w:val="0"/>
      <w:marTop w:val="0"/>
      <w:marBottom w:val="0"/>
      <w:divBdr>
        <w:top w:val="none" w:sz="0" w:space="0" w:color="auto"/>
        <w:left w:val="none" w:sz="0" w:space="0" w:color="auto"/>
        <w:bottom w:val="none" w:sz="0" w:space="0" w:color="auto"/>
        <w:right w:val="none" w:sz="0" w:space="0" w:color="auto"/>
      </w:divBdr>
    </w:div>
    <w:div w:id="2014448441">
      <w:bodyDiv w:val="1"/>
      <w:marLeft w:val="0"/>
      <w:marRight w:val="0"/>
      <w:marTop w:val="0"/>
      <w:marBottom w:val="0"/>
      <w:divBdr>
        <w:top w:val="none" w:sz="0" w:space="0" w:color="auto"/>
        <w:left w:val="none" w:sz="0" w:space="0" w:color="auto"/>
        <w:bottom w:val="none" w:sz="0" w:space="0" w:color="auto"/>
        <w:right w:val="none" w:sz="0" w:space="0" w:color="auto"/>
      </w:divBdr>
    </w:div>
    <w:div w:id="212090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www.chevron.com/" TargetMode="External"/><Relationship Id="rId9" Type="http://schemas.openxmlformats.org/officeDocument/2006/relationships/header" Target="header1.xml"/><Relationship Id="rId10"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mpd\Desktop\NEWS%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Settings\cmpd\Desktop\NEWS template.dot</Template>
  <TotalTime>0</TotalTime>
  <Pages>2</Pages>
  <Words>768</Words>
  <Characters>4381</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CHX_news_release_us</vt:lpstr>
    </vt:vector>
  </TitlesOfParts>
  <Company>Lippincott Mercer</Company>
  <LinksUpToDate>false</LinksUpToDate>
  <CharactersWithSpaces>5139</CharactersWithSpaces>
  <SharedDoc>false</SharedDoc>
  <HyperlinkBase/>
  <HLinks>
    <vt:vector size="18" baseType="variant">
      <vt:variant>
        <vt:i4>262259</vt:i4>
      </vt:variant>
      <vt:variant>
        <vt:i4>0</vt:i4>
      </vt:variant>
      <vt:variant>
        <vt:i4>0</vt:i4>
      </vt:variant>
      <vt:variant>
        <vt:i4>5</vt:i4>
      </vt:variant>
      <vt:variant>
        <vt:lpwstr>BWAG@chevron.com</vt:lpwstr>
      </vt:variant>
      <vt:variant>
        <vt:lpwstr/>
      </vt:variant>
      <vt:variant>
        <vt:i4>7667721</vt:i4>
      </vt:variant>
      <vt:variant>
        <vt:i4>-1</vt:i4>
      </vt:variant>
      <vt:variant>
        <vt:i4>1026</vt:i4>
      </vt:variant>
      <vt:variant>
        <vt:i4>1</vt:i4>
      </vt:variant>
      <vt:variant>
        <vt:lpwstr>Chevron_Grayscale_b</vt:lpwstr>
      </vt:variant>
      <vt:variant>
        <vt:lpwstr/>
      </vt:variant>
      <vt:variant>
        <vt:i4>7471132</vt:i4>
      </vt:variant>
      <vt:variant>
        <vt:i4>-1</vt:i4>
      </vt:variant>
      <vt:variant>
        <vt:i4>2050</vt:i4>
      </vt:variant>
      <vt:variant>
        <vt:i4>1</vt:i4>
      </vt:variant>
      <vt:variant>
        <vt:lpwstr>nrr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CHX_news_release_us</dc:title>
  <dc:creator>celw</dc:creator>
  <cp:lastModifiedBy>Priscilla Moroke</cp:lastModifiedBy>
  <cp:revision>2</cp:revision>
  <cp:lastPrinted>2008-08-05T03:21:00Z</cp:lastPrinted>
  <dcterms:created xsi:type="dcterms:W3CDTF">2016-08-25T06:39:00Z</dcterms:created>
  <dcterms:modified xsi:type="dcterms:W3CDTF">2016-08-25T06:39:00Z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aderFirstCompany">
    <vt:lpwstr> </vt:lpwstr>
  </property>
  <property fmtid="{D5CDD505-2E9C-101B-9397-08002B2CF9AE}" pid="3" name="HeaderFirstID">
    <vt:lpwstr> </vt:lpwstr>
  </property>
  <property fmtid="{D5CDD505-2E9C-101B-9397-08002B2CF9AE}" pid="4" name="HeaderFirstAddress">
    <vt:lpwstr> </vt:lpwstr>
  </property>
  <property fmtid="{D5CDD505-2E9C-101B-9397-08002B2CF9AE}" pid="5" name="HeaderFirstURL">
    <vt:lpwstr> </vt:lpwstr>
  </property>
  <property fmtid="{D5CDD505-2E9C-101B-9397-08002B2CF9AE}" pid="6" name="Name">
    <vt:lpwstr> </vt:lpwstr>
  </property>
  <property fmtid="{D5CDD505-2E9C-101B-9397-08002B2CF9AE}" pid="7" name="Phone">
    <vt:lpwstr> </vt:lpwstr>
  </property>
  <property fmtid="{D5CDD505-2E9C-101B-9397-08002B2CF9AE}" pid="8" name="HeaderPrimaryName">
    <vt:lpwstr> </vt:lpwstr>
  </property>
  <property fmtid="{D5CDD505-2E9C-101B-9397-08002B2CF9AE}" pid="9" name="_ReviewCycleID">
    <vt:i4>419293366</vt:i4>
  </property>
  <property fmtid="{D5CDD505-2E9C-101B-9397-08002B2CF9AE}" pid="10" name="_EmailEntryID">
    <vt:lpwstr>00000000885FCB52E7494146B3598A75944846D00700D577F2FD5B5AC748B07255BECEA4017A00000103E9B00000D577F2FD5B5AC748B07255BECEA4017A0000021716860000</vt:lpwstr>
  </property>
  <property fmtid="{D5CDD505-2E9C-101B-9397-08002B2CF9AE}" pid="11" name="_EmailStoreID">
    <vt:lpwstr>0000000038A1BB1005E5101AA1BB08002B2A56C20000454D534D44422E444C4C00000000000000001B55FA20AA6611CD9BC800AA002FC45A0C000000534748514E545831002F6F3D43484556524F4E2F6F753D414730332F636E3D526563697069656E74732F636E3D4257414700</vt:lpwstr>
  </property>
  <property fmtid="{D5CDD505-2E9C-101B-9397-08002B2CF9AE}" pid="12" name="_NewReviewCycle">
    <vt:lpwstr/>
  </property>
  <property fmtid="{D5CDD505-2E9C-101B-9397-08002B2CF9AE}" pid="13" name="_EmailStoreID0">
    <vt:lpwstr>0000000038A1BB1005E5101AA1BB08002B2A56C20000454D534D44422E444C4C00000000000000001B55FA20AA6611CD9BC800AA002FC45A0C000000504554524F46494E534253002F6F3D5046492F6F753D66697273742061646D696E6973747261746976652067726F75702F636E3D526563697069656E74732F636E3D484</vt:lpwstr>
  </property>
  <property fmtid="{D5CDD505-2E9C-101B-9397-08002B2CF9AE}" pid="14" name="_EmailStoreID1">
    <vt:lpwstr>8617262657273303137363330353300D83521F3920000000100000014000000640000002F6F3D5046492F6F753D66697273742061646D696E6973747261746976652067726F75702F636E3D436F6E66696775726174696F6E2F636E3D536572766572732F636E3D504554524F46494E5342530050004500540052004F004600</vt:lpwstr>
  </property>
  <property fmtid="{D5CDD505-2E9C-101B-9397-08002B2CF9AE}" pid="15" name="_EmailStoreID2">
    <vt:lpwstr>49004E005300420053002E007000660069002E006C006F00630061006C0000000000</vt:lpwstr>
  </property>
</Properties>
</file>