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7F4C15" w14:textId="77777777" w:rsidR="00C361E3" w:rsidRPr="00C361E3" w:rsidRDefault="00000562" w:rsidP="00C361E3">
      <w:pPr>
        <w:pStyle w:val="NoSpacing"/>
        <w:jc w:val="center"/>
      </w:pPr>
      <w:bookmarkStart w:id="0" w:name="_GoBack"/>
      <w:bookmarkEnd w:id="0"/>
      <w:r>
        <w:t>PRESS RELEASE</w:t>
      </w:r>
    </w:p>
    <w:p w14:paraId="22968178" w14:textId="77777777" w:rsidR="00C361E3" w:rsidRPr="00C361E3" w:rsidRDefault="00C361E3" w:rsidP="00C361E3">
      <w:pPr>
        <w:pStyle w:val="NoSpacing"/>
      </w:pPr>
    </w:p>
    <w:p w14:paraId="014D7373" w14:textId="77777777" w:rsidR="00280D7D" w:rsidRPr="00CB2A89" w:rsidRDefault="00280D7D" w:rsidP="00280D7D">
      <w:pPr>
        <w:spacing w:line="360" w:lineRule="auto"/>
        <w:jc w:val="center"/>
        <w:rPr>
          <w:rFonts w:ascii="Arial" w:eastAsiaTheme="minorEastAsia" w:hAnsi="Arial" w:cs="Arial"/>
          <w:b/>
          <w:color w:val="000000"/>
          <w:sz w:val="18"/>
          <w:szCs w:val="18"/>
        </w:rPr>
      </w:pPr>
      <w:r>
        <w:rPr>
          <w:rFonts w:ascii="Arial" w:eastAsiaTheme="minorEastAsia" w:hAnsi="Arial" w:cs="Arial"/>
          <w:b/>
          <w:color w:val="000000"/>
          <w:sz w:val="18"/>
          <w:szCs w:val="18"/>
        </w:rPr>
        <w:t>Sungrow Successfully Raises</w:t>
      </w:r>
      <w:r>
        <w:rPr>
          <w:rFonts w:ascii="Arial" w:eastAsiaTheme="minorEastAsia" w:hAnsi="Arial" w:cs="Arial" w:hint="eastAsia"/>
          <w:b/>
          <w:color w:val="000000"/>
          <w:sz w:val="18"/>
          <w:szCs w:val="18"/>
        </w:rPr>
        <w:t xml:space="preserve"> US$400 Million</w:t>
      </w:r>
      <w:r w:rsidRPr="00CB2A89">
        <w:rPr>
          <w:rFonts w:ascii="Arial" w:eastAsiaTheme="minorEastAsia" w:hAnsi="Arial" w:cs="Arial"/>
          <w:b/>
          <w:color w:val="000000"/>
          <w:sz w:val="18"/>
          <w:szCs w:val="18"/>
        </w:rPr>
        <w:t xml:space="preserve"> to Strengthen Core Solar Business</w:t>
      </w:r>
    </w:p>
    <w:p w14:paraId="65AB3E5B" w14:textId="77777777" w:rsidR="00280D7D" w:rsidRPr="00234841" w:rsidRDefault="00280D7D" w:rsidP="00280D7D">
      <w:pPr>
        <w:spacing w:line="360" w:lineRule="auto"/>
        <w:rPr>
          <w:rFonts w:ascii="Arial" w:hAnsi="Arial" w:cs="Arial"/>
          <w:color w:val="000000"/>
          <w:sz w:val="18"/>
          <w:szCs w:val="18"/>
        </w:rPr>
      </w:pPr>
      <w:r>
        <w:rPr>
          <w:rFonts w:ascii="Arial" w:hAnsi="Arial" w:cs="Arial"/>
          <w:color w:val="000000"/>
          <w:sz w:val="18"/>
          <w:szCs w:val="18"/>
        </w:rPr>
        <w:t xml:space="preserve">Hefei, China / </w:t>
      </w:r>
      <w:r>
        <w:rPr>
          <w:rFonts w:ascii="Arial" w:eastAsiaTheme="minorEastAsia" w:hAnsi="Arial" w:cs="Arial" w:hint="eastAsia"/>
          <w:color w:val="000000"/>
          <w:sz w:val="18"/>
          <w:szCs w:val="18"/>
        </w:rPr>
        <w:t>August 1</w:t>
      </w:r>
      <w:r w:rsidRPr="00234841">
        <w:rPr>
          <w:rFonts w:ascii="Arial" w:hAnsi="Arial" w:cs="Arial"/>
          <w:color w:val="000000"/>
          <w:sz w:val="18"/>
          <w:szCs w:val="18"/>
        </w:rPr>
        <w:t xml:space="preserve">, 2016 - </w:t>
      </w:r>
      <w:r>
        <w:rPr>
          <w:rFonts w:ascii="Arial" w:hAnsi="Arial" w:cs="Arial"/>
          <w:color w:val="000000"/>
          <w:sz w:val="18"/>
          <w:szCs w:val="18"/>
        </w:rPr>
        <w:t>Sungrow</w:t>
      </w:r>
      <w:r w:rsidRPr="00234841">
        <w:rPr>
          <w:rFonts w:ascii="Arial" w:hAnsi="Arial" w:cs="Arial"/>
          <w:color w:val="000000"/>
          <w:sz w:val="18"/>
          <w:szCs w:val="18"/>
        </w:rPr>
        <w:t xml:space="preserve">, the world’s largest PV inverter manufacturer, officially </w:t>
      </w:r>
      <w:r>
        <w:rPr>
          <w:rFonts w:ascii="Arial" w:hAnsi="Arial" w:cs="Arial"/>
          <w:color w:val="000000"/>
          <w:sz w:val="18"/>
          <w:szCs w:val="18"/>
        </w:rPr>
        <w:t xml:space="preserve">announced that it </w:t>
      </w:r>
      <w:r w:rsidRPr="00234841">
        <w:rPr>
          <w:rFonts w:ascii="Arial" w:hAnsi="Arial" w:cs="Arial"/>
          <w:color w:val="000000"/>
          <w:sz w:val="18"/>
          <w:szCs w:val="18"/>
        </w:rPr>
        <w:t>issued 120 million</w:t>
      </w:r>
      <w:r>
        <w:rPr>
          <w:rFonts w:ascii="Arial" w:hAnsi="Arial" w:cs="Arial"/>
          <w:color w:val="000000"/>
          <w:sz w:val="18"/>
          <w:szCs w:val="18"/>
        </w:rPr>
        <w:t xml:space="preserve"> additional</w:t>
      </w:r>
      <w:r w:rsidRPr="00234841">
        <w:rPr>
          <w:rFonts w:ascii="Arial" w:hAnsi="Arial" w:cs="Arial"/>
          <w:color w:val="000000"/>
          <w:sz w:val="18"/>
          <w:szCs w:val="18"/>
        </w:rPr>
        <w:t xml:space="preserve"> shares</w:t>
      </w:r>
      <w:r>
        <w:rPr>
          <w:rFonts w:ascii="Arial" w:hAnsi="Arial" w:cs="Arial"/>
          <w:color w:val="000000"/>
          <w:sz w:val="18"/>
          <w:szCs w:val="18"/>
        </w:rPr>
        <w:t>—raising</w:t>
      </w:r>
      <w:r w:rsidRPr="00457BEA">
        <w:t xml:space="preserve"> </w:t>
      </w:r>
      <w:r>
        <w:rPr>
          <w:rFonts w:ascii="Arial" w:eastAsiaTheme="minorEastAsia" w:hAnsi="Arial" w:cs="Arial"/>
          <w:color w:val="000000"/>
          <w:sz w:val="18"/>
          <w:szCs w:val="18"/>
        </w:rPr>
        <w:t xml:space="preserve">US$400 </w:t>
      </w:r>
      <w:r>
        <w:rPr>
          <w:rFonts w:ascii="Arial" w:eastAsiaTheme="minorEastAsia" w:hAnsi="Arial" w:cs="Arial" w:hint="eastAsia"/>
          <w:color w:val="000000"/>
          <w:sz w:val="18"/>
          <w:szCs w:val="18"/>
        </w:rPr>
        <w:t>m</w:t>
      </w:r>
      <w:r w:rsidRPr="00457BEA">
        <w:rPr>
          <w:rFonts w:ascii="Arial" w:eastAsiaTheme="minorEastAsia" w:hAnsi="Arial" w:cs="Arial"/>
          <w:color w:val="000000"/>
          <w:sz w:val="18"/>
          <w:szCs w:val="18"/>
        </w:rPr>
        <w:t>illion</w:t>
      </w:r>
      <w:r>
        <w:rPr>
          <w:rFonts w:ascii="Arial" w:eastAsiaTheme="minorEastAsia" w:hAnsi="Arial" w:cs="Arial" w:hint="eastAsia"/>
          <w:color w:val="000000"/>
          <w:sz w:val="18"/>
          <w:szCs w:val="18"/>
        </w:rPr>
        <w:t xml:space="preserve"> </w:t>
      </w:r>
      <w:r>
        <w:rPr>
          <w:rFonts w:ascii="Arial" w:hAnsi="Arial" w:cs="Arial"/>
          <w:color w:val="000000"/>
          <w:sz w:val="18"/>
          <w:szCs w:val="18"/>
        </w:rPr>
        <w:t>of additional capital with goals of</w:t>
      </w:r>
      <w:r w:rsidRPr="00234841">
        <w:rPr>
          <w:rFonts w:ascii="Arial" w:hAnsi="Arial" w:cs="Arial"/>
          <w:color w:val="000000"/>
          <w:sz w:val="18"/>
          <w:szCs w:val="18"/>
        </w:rPr>
        <w:t xml:space="preserve"> strengthening its solar core business.</w:t>
      </w:r>
    </w:p>
    <w:p w14:paraId="6720744A" w14:textId="77777777" w:rsidR="00280D7D" w:rsidRPr="00131445" w:rsidRDefault="00280D7D" w:rsidP="00280D7D">
      <w:pPr>
        <w:spacing w:line="360" w:lineRule="auto"/>
        <w:rPr>
          <w:rFonts w:ascii="Arial" w:eastAsiaTheme="minorEastAsia" w:hAnsi="Arial" w:cs="Arial"/>
          <w:color w:val="000000"/>
          <w:sz w:val="18"/>
          <w:szCs w:val="18"/>
        </w:rPr>
      </w:pPr>
      <w:r w:rsidRPr="00234841">
        <w:rPr>
          <w:rFonts w:ascii="Arial" w:hAnsi="Arial" w:cs="Arial"/>
          <w:color w:val="000000"/>
          <w:sz w:val="18"/>
          <w:szCs w:val="18"/>
        </w:rPr>
        <w:t>Under this</w:t>
      </w:r>
      <w:r>
        <w:rPr>
          <w:rFonts w:ascii="Arial" w:hAnsi="Arial" w:cs="Arial"/>
          <w:color w:val="000000"/>
          <w:sz w:val="18"/>
          <w:szCs w:val="18"/>
        </w:rPr>
        <w:t xml:space="preserve"> new</w:t>
      </w:r>
      <w:r w:rsidRPr="00234841">
        <w:rPr>
          <w:rFonts w:ascii="Arial" w:hAnsi="Arial" w:cs="Arial"/>
          <w:color w:val="000000"/>
          <w:sz w:val="18"/>
          <w:szCs w:val="18"/>
        </w:rPr>
        <w:t xml:space="preserve"> stock </w:t>
      </w:r>
      <w:r>
        <w:rPr>
          <w:rFonts w:ascii="Arial" w:hAnsi="Arial" w:cs="Arial"/>
          <w:color w:val="000000"/>
          <w:sz w:val="18"/>
          <w:szCs w:val="18"/>
        </w:rPr>
        <w:t>offering</w:t>
      </w:r>
      <w:r w:rsidRPr="00234841">
        <w:rPr>
          <w:rFonts w:ascii="Arial" w:hAnsi="Arial" w:cs="Arial"/>
          <w:color w:val="000000"/>
          <w:sz w:val="18"/>
          <w:szCs w:val="18"/>
        </w:rPr>
        <w:t>, Sungrow is expected to reinforce</w:t>
      </w:r>
      <w:r>
        <w:rPr>
          <w:rFonts w:ascii="Arial" w:hAnsi="Arial" w:cs="Arial"/>
          <w:color w:val="000000"/>
          <w:sz w:val="18"/>
          <w:szCs w:val="18"/>
        </w:rPr>
        <w:t xml:space="preserve"> its </w:t>
      </w:r>
      <w:r w:rsidRPr="00234841">
        <w:rPr>
          <w:rFonts w:ascii="Arial" w:hAnsi="Arial" w:cs="Arial"/>
          <w:color w:val="000000"/>
          <w:sz w:val="18"/>
          <w:szCs w:val="18"/>
        </w:rPr>
        <w:t>financial strength</w:t>
      </w:r>
      <w:r>
        <w:rPr>
          <w:rFonts w:ascii="Arial" w:hAnsi="Arial" w:cs="Arial"/>
          <w:color w:val="000000"/>
          <w:sz w:val="18"/>
          <w:szCs w:val="18"/>
        </w:rPr>
        <w:t xml:space="preserve">, </w:t>
      </w:r>
      <w:r>
        <w:rPr>
          <w:rFonts w:ascii="Arial" w:eastAsiaTheme="minorEastAsia" w:hAnsi="Arial" w:cs="Arial" w:hint="eastAsia"/>
          <w:color w:val="000000"/>
          <w:sz w:val="18"/>
          <w:szCs w:val="18"/>
        </w:rPr>
        <w:t>reduce</w:t>
      </w:r>
      <w:r>
        <w:rPr>
          <w:rFonts w:ascii="Arial" w:hAnsi="Arial" w:cs="Arial"/>
          <w:color w:val="000000"/>
          <w:sz w:val="18"/>
          <w:szCs w:val="18"/>
        </w:rPr>
        <w:t xml:space="preserve"> financial risk,</w:t>
      </w:r>
      <w:r w:rsidRPr="00234841">
        <w:rPr>
          <w:rFonts w:ascii="Arial" w:hAnsi="Arial" w:cs="Arial"/>
          <w:color w:val="000000"/>
          <w:sz w:val="18"/>
          <w:szCs w:val="18"/>
        </w:rPr>
        <w:t xml:space="preserve"> and optimize </w:t>
      </w:r>
      <w:r>
        <w:rPr>
          <w:rFonts w:ascii="Arial" w:hAnsi="Arial" w:cs="Arial"/>
          <w:color w:val="000000"/>
          <w:sz w:val="18"/>
          <w:szCs w:val="18"/>
        </w:rPr>
        <w:t xml:space="preserve">the company’s </w:t>
      </w:r>
      <w:r w:rsidRPr="00234841">
        <w:rPr>
          <w:rFonts w:ascii="Arial" w:hAnsi="Arial" w:cs="Arial"/>
          <w:color w:val="000000"/>
          <w:sz w:val="18"/>
          <w:szCs w:val="18"/>
        </w:rPr>
        <w:t>financial structure</w:t>
      </w:r>
      <w:r>
        <w:rPr>
          <w:rFonts w:ascii="Arial" w:hAnsi="Arial" w:cs="Arial"/>
          <w:color w:val="000000"/>
          <w:sz w:val="18"/>
          <w:szCs w:val="18"/>
        </w:rPr>
        <w:t xml:space="preserve">. The US$400 </w:t>
      </w:r>
      <w:r>
        <w:rPr>
          <w:rFonts w:ascii="Arial" w:eastAsiaTheme="minorEastAsia" w:hAnsi="Arial" w:cs="Arial" w:hint="eastAsia"/>
          <w:color w:val="000000"/>
          <w:sz w:val="18"/>
          <w:szCs w:val="18"/>
        </w:rPr>
        <w:t>m</w:t>
      </w:r>
      <w:r w:rsidRPr="00457BEA">
        <w:rPr>
          <w:rFonts w:ascii="Arial" w:hAnsi="Arial" w:cs="Arial"/>
          <w:color w:val="000000"/>
          <w:sz w:val="18"/>
          <w:szCs w:val="18"/>
        </w:rPr>
        <w:t xml:space="preserve">illion </w:t>
      </w:r>
      <w:r>
        <w:rPr>
          <w:rFonts w:ascii="Arial" w:hAnsi="Arial" w:cs="Arial"/>
          <w:color w:val="000000"/>
          <w:sz w:val="18"/>
          <w:szCs w:val="18"/>
        </w:rPr>
        <w:t xml:space="preserve">raised </w:t>
      </w:r>
      <w:r w:rsidRPr="00234841">
        <w:rPr>
          <w:rFonts w:ascii="Arial" w:hAnsi="Arial" w:cs="Arial"/>
          <w:color w:val="000000"/>
          <w:sz w:val="18"/>
          <w:szCs w:val="18"/>
        </w:rPr>
        <w:t>in</w:t>
      </w:r>
      <w:r>
        <w:rPr>
          <w:rFonts w:ascii="Arial" w:hAnsi="Arial" w:cs="Arial"/>
          <w:color w:val="000000"/>
          <w:sz w:val="18"/>
          <w:szCs w:val="18"/>
        </w:rPr>
        <w:t xml:space="preserve"> equity capital will</w:t>
      </w:r>
      <w:r w:rsidRPr="00234841">
        <w:rPr>
          <w:rFonts w:ascii="Arial" w:hAnsi="Arial" w:cs="Arial"/>
          <w:color w:val="000000"/>
          <w:sz w:val="18"/>
          <w:szCs w:val="18"/>
        </w:rPr>
        <w:t xml:space="preserve"> enable Sungrow to increase investment </w:t>
      </w:r>
      <w:r>
        <w:rPr>
          <w:rFonts w:ascii="Arial" w:hAnsi="Arial" w:cs="Arial"/>
          <w:color w:val="000000"/>
          <w:sz w:val="18"/>
          <w:szCs w:val="18"/>
        </w:rPr>
        <w:t>in</w:t>
      </w:r>
      <w:r w:rsidRPr="00234841">
        <w:rPr>
          <w:rFonts w:ascii="Arial" w:hAnsi="Arial" w:cs="Arial"/>
          <w:color w:val="000000"/>
          <w:sz w:val="18"/>
          <w:szCs w:val="18"/>
        </w:rPr>
        <w:t xml:space="preserve"> R&amp;D and deepen </w:t>
      </w:r>
      <w:r>
        <w:rPr>
          <w:rFonts w:ascii="Arial" w:hAnsi="Arial" w:cs="Arial"/>
          <w:color w:val="000000"/>
          <w:sz w:val="18"/>
          <w:szCs w:val="18"/>
        </w:rPr>
        <w:t>the company’s focus on</w:t>
      </w:r>
      <w:r w:rsidRPr="00234841">
        <w:rPr>
          <w:rFonts w:ascii="Arial" w:hAnsi="Arial" w:cs="Arial"/>
          <w:color w:val="000000"/>
          <w:sz w:val="18"/>
          <w:szCs w:val="18"/>
        </w:rPr>
        <w:t xml:space="preserve"> innovation </w:t>
      </w:r>
      <w:r>
        <w:rPr>
          <w:rFonts w:ascii="Arial" w:eastAsiaTheme="minorEastAsia" w:hAnsi="Arial" w:cs="Arial" w:hint="eastAsia"/>
          <w:color w:val="000000"/>
          <w:sz w:val="18"/>
          <w:szCs w:val="18"/>
        </w:rPr>
        <w:t>related to its PV inverter and energy storage lineups</w:t>
      </w:r>
      <w:r w:rsidRPr="00234841">
        <w:rPr>
          <w:rFonts w:ascii="Arial" w:hAnsi="Arial" w:cs="Arial"/>
          <w:color w:val="000000"/>
          <w:sz w:val="18"/>
          <w:szCs w:val="18"/>
        </w:rPr>
        <w:t>,</w:t>
      </w:r>
      <w:r>
        <w:rPr>
          <w:rFonts w:ascii="Arial" w:eastAsiaTheme="minorEastAsia" w:hAnsi="Arial" w:cs="Arial" w:hint="eastAsia"/>
          <w:color w:val="000000"/>
          <w:sz w:val="18"/>
          <w:szCs w:val="18"/>
        </w:rPr>
        <w:t xml:space="preserve"> </w:t>
      </w:r>
      <w:r>
        <w:rPr>
          <w:rFonts w:ascii="Arial" w:hAnsi="Arial" w:cs="Arial"/>
          <w:color w:val="000000"/>
          <w:sz w:val="18"/>
          <w:szCs w:val="18"/>
        </w:rPr>
        <w:t>which already ha</w:t>
      </w:r>
      <w:r>
        <w:rPr>
          <w:rFonts w:ascii="Arial" w:eastAsiaTheme="minorEastAsia" w:hAnsi="Arial" w:cs="Arial" w:hint="eastAsia"/>
          <w:color w:val="000000"/>
          <w:sz w:val="18"/>
          <w:szCs w:val="18"/>
        </w:rPr>
        <w:t>ve</w:t>
      </w:r>
      <w:r>
        <w:rPr>
          <w:rFonts w:ascii="Arial" w:hAnsi="Arial" w:cs="Arial"/>
          <w:color w:val="000000"/>
          <w:sz w:val="18"/>
          <w:szCs w:val="18"/>
        </w:rPr>
        <w:t xml:space="preserve"> demonstrated significant </w:t>
      </w:r>
      <w:r w:rsidRPr="00234841">
        <w:rPr>
          <w:rFonts w:ascii="Arial" w:hAnsi="Arial" w:cs="Arial"/>
          <w:color w:val="000000"/>
          <w:sz w:val="18"/>
          <w:szCs w:val="18"/>
        </w:rPr>
        <w:t>technical advantages</w:t>
      </w:r>
      <w:r>
        <w:rPr>
          <w:rFonts w:ascii="Arial" w:hAnsi="Arial" w:cs="Arial"/>
          <w:color w:val="000000"/>
          <w:sz w:val="18"/>
          <w:szCs w:val="18"/>
        </w:rPr>
        <w:t xml:space="preserve"> over </w:t>
      </w:r>
      <w:r>
        <w:rPr>
          <w:rFonts w:ascii="Arial" w:eastAsiaTheme="minorEastAsia" w:hAnsi="Arial" w:cs="Arial" w:hint="eastAsia"/>
          <w:color w:val="000000"/>
          <w:sz w:val="18"/>
          <w:szCs w:val="18"/>
        </w:rPr>
        <w:t>those of</w:t>
      </w:r>
      <w:r>
        <w:rPr>
          <w:rFonts w:ascii="Arial" w:hAnsi="Arial" w:cs="Arial"/>
          <w:color w:val="000000"/>
          <w:sz w:val="18"/>
          <w:szCs w:val="18"/>
        </w:rPr>
        <w:t xml:space="preserve"> competing firms in the solar industry</w:t>
      </w:r>
      <w:r w:rsidRPr="00234841">
        <w:rPr>
          <w:rFonts w:ascii="Arial" w:hAnsi="Arial" w:cs="Arial"/>
          <w:color w:val="000000"/>
          <w:sz w:val="18"/>
          <w:szCs w:val="18"/>
        </w:rPr>
        <w:t xml:space="preserve">. </w:t>
      </w:r>
      <w:r>
        <w:rPr>
          <w:rFonts w:ascii="Arial" w:hAnsi="Arial" w:cs="Arial"/>
          <w:color w:val="000000"/>
          <w:sz w:val="18"/>
          <w:szCs w:val="18"/>
        </w:rPr>
        <w:t>In addition,</w:t>
      </w:r>
      <w:r w:rsidRPr="00234841">
        <w:rPr>
          <w:rFonts w:ascii="Arial" w:hAnsi="Arial" w:cs="Arial"/>
          <w:color w:val="000000"/>
          <w:sz w:val="18"/>
          <w:szCs w:val="18"/>
        </w:rPr>
        <w:t xml:space="preserve"> Sungrow is expected to introduce </w:t>
      </w:r>
      <w:r>
        <w:rPr>
          <w:rFonts w:ascii="Arial" w:hAnsi="Arial" w:cs="Arial"/>
          <w:color w:val="000000"/>
          <w:sz w:val="18"/>
          <w:szCs w:val="18"/>
        </w:rPr>
        <w:t>an industry-changing product lineup</w:t>
      </w:r>
      <w:r>
        <w:rPr>
          <w:rFonts w:ascii="Arial" w:eastAsiaTheme="minorEastAsia" w:hAnsi="Arial" w:cs="Arial" w:hint="eastAsia"/>
          <w:color w:val="000000"/>
          <w:sz w:val="18"/>
          <w:szCs w:val="18"/>
        </w:rPr>
        <w:t xml:space="preserve"> in the coming year </w:t>
      </w:r>
      <w:r>
        <w:rPr>
          <w:rFonts w:ascii="Arial" w:hAnsi="Arial" w:cs="Arial"/>
          <w:color w:val="000000"/>
          <w:sz w:val="18"/>
          <w:szCs w:val="18"/>
        </w:rPr>
        <w:t xml:space="preserve">which many expect will significantly increase </w:t>
      </w:r>
      <w:r>
        <w:rPr>
          <w:rFonts w:ascii="Arial" w:eastAsiaTheme="minorEastAsia" w:hAnsi="Arial" w:cs="Arial" w:hint="eastAsia"/>
          <w:color w:val="000000"/>
          <w:sz w:val="18"/>
          <w:szCs w:val="18"/>
        </w:rPr>
        <w:t>the company</w:t>
      </w:r>
      <w:r>
        <w:rPr>
          <w:rFonts w:ascii="Arial" w:eastAsiaTheme="minorEastAsia" w:hAnsi="Arial" w:cs="Arial"/>
          <w:color w:val="000000"/>
          <w:sz w:val="18"/>
          <w:szCs w:val="18"/>
        </w:rPr>
        <w:t>’</w:t>
      </w:r>
      <w:r>
        <w:rPr>
          <w:rFonts w:ascii="Arial" w:eastAsiaTheme="minorEastAsia" w:hAnsi="Arial" w:cs="Arial" w:hint="eastAsia"/>
          <w:color w:val="000000"/>
          <w:sz w:val="18"/>
          <w:szCs w:val="18"/>
        </w:rPr>
        <w:t>s</w:t>
      </w:r>
      <w:r>
        <w:rPr>
          <w:rFonts w:ascii="Arial" w:hAnsi="Arial" w:cs="Arial"/>
          <w:color w:val="000000"/>
          <w:sz w:val="18"/>
          <w:szCs w:val="18"/>
        </w:rPr>
        <w:t xml:space="preserve"> global deployments</w:t>
      </w:r>
      <w:r w:rsidRPr="00234841">
        <w:rPr>
          <w:rFonts w:ascii="Arial" w:hAnsi="Arial" w:cs="Arial"/>
          <w:color w:val="000000"/>
          <w:sz w:val="18"/>
          <w:szCs w:val="18"/>
        </w:rPr>
        <w:t xml:space="preserve"> and </w:t>
      </w:r>
      <w:r>
        <w:rPr>
          <w:rFonts w:ascii="Arial" w:eastAsiaTheme="minorEastAsia" w:hAnsi="Arial" w:cs="Arial" w:hint="eastAsia"/>
          <w:color w:val="000000"/>
          <w:sz w:val="18"/>
          <w:szCs w:val="18"/>
        </w:rPr>
        <w:t>further drive</w:t>
      </w:r>
      <w:r>
        <w:rPr>
          <w:rFonts w:ascii="Arial" w:hAnsi="Arial" w:cs="Arial"/>
          <w:color w:val="000000"/>
          <w:sz w:val="18"/>
          <w:szCs w:val="18"/>
        </w:rPr>
        <w:t xml:space="preserve"> growth in</w:t>
      </w:r>
      <w:r>
        <w:rPr>
          <w:rFonts w:ascii="Arial" w:eastAsiaTheme="minorEastAsia" w:hAnsi="Arial" w:cs="Arial" w:hint="eastAsia"/>
          <w:color w:val="000000"/>
          <w:sz w:val="18"/>
          <w:szCs w:val="18"/>
        </w:rPr>
        <w:t>to</w:t>
      </w:r>
      <w:r>
        <w:rPr>
          <w:rFonts w:ascii="Arial" w:hAnsi="Arial" w:cs="Arial"/>
          <w:color w:val="000000"/>
          <w:sz w:val="18"/>
          <w:szCs w:val="18"/>
        </w:rPr>
        <w:t xml:space="preserve"> new industry verticals</w:t>
      </w:r>
      <w:r>
        <w:rPr>
          <w:rFonts w:ascii="Arial" w:eastAsiaTheme="minorEastAsia" w:hAnsi="Arial" w:cs="Arial" w:hint="eastAsia"/>
          <w:color w:val="000000"/>
          <w:sz w:val="18"/>
          <w:szCs w:val="18"/>
        </w:rPr>
        <w:t>.</w:t>
      </w:r>
    </w:p>
    <w:p w14:paraId="7C9F3799" w14:textId="77777777" w:rsidR="00280D7D" w:rsidRPr="00234841" w:rsidRDefault="00280D7D" w:rsidP="00280D7D">
      <w:pPr>
        <w:spacing w:line="360" w:lineRule="auto"/>
        <w:rPr>
          <w:rFonts w:ascii="Arial" w:hAnsi="Arial" w:cs="Arial"/>
          <w:color w:val="000000"/>
          <w:sz w:val="18"/>
          <w:szCs w:val="18"/>
        </w:rPr>
      </w:pPr>
      <w:r>
        <w:rPr>
          <w:rFonts w:ascii="Arial" w:hAnsi="Arial" w:cs="Arial"/>
          <w:color w:val="000000"/>
          <w:sz w:val="18"/>
          <w:szCs w:val="18"/>
        </w:rPr>
        <w:t>Sungrow</w:t>
      </w:r>
      <w:r w:rsidRPr="00590D36">
        <w:rPr>
          <w:rFonts w:ascii="Arial" w:hAnsi="Arial" w:cs="Arial" w:hint="cs"/>
          <w:color w:val="000000"/>
          <w:sz w:val="18"/>
          <w:szCs w:val="18"/>
        </w:rPr>
        <w:t>—</w:t>
      </w:r>
      <w:r>
        <w:rPr>
          <w:rFonts w:ascii="Arial" w:hAnsi="Arial" w:cs="Arial"/>
          <w:color w:val="000000"/>
          <w:sz w:val="18"/>
          <w:szCs w:val="18"/>
        </w:rPr>
        <w:t xml:space="preserve">with </w:t>
      </w:r>
      <w:r>
        <w:rPr>
          <w:rFonts w:ascii="Arial" w:eastAsiaTheme="minorEastAsia" w:hAnsi="Arial" w:cs="Arial" w:hint="eastAsia"/>
          <w:color w:val="000000"/>
          <w:sz w:val="18"/>
          <w:szCs w:val="18"/>
        </w:rPr>
        <w:t>over 50%</w:t>
      </w:r>
      <w:r w:rsidRPr="003E2B73">
        <w:rPr>
          <w:rFonts w:ascii="Arial" w:hAnsi="Arial" w:cs="Arial"/>
          <w:color w:val="000000"/>
          <w:sz w:val="18"/>
          <w:szCs w:val="18"/>
        </w:rPr>
        <w:t xml:space="preserve"> year-over-year growth in net income</w:t>
      </w:r>
      <w:r>
        <w:rPr>
          <w:rFonts w:ascii="Arial" w:eastAsiaTheme="minorEastAsia" w:hAnsi="Arial" w:cs="Arial" w:hint="eastAsia"/>
          <w:color w:val="000000"/>
          <w:sz w:val="18"/>
          <w:szCs w:val="18"/>
        </w:rPr>
        <w:t xml:space="preserve"> in</w:t>
      </w:r>
      <w:r w:rsidRPr="003E2B73">
        <w:rPr>
          <w:rFonts w:ascii="Arial" w:hAnsi="Arial" w:cs="Arial"/>
          <w:color w:val="000000"/>
          <w:sz w:val="18"/>
          <w:szCs w:val="18"/>
        </w:rPr>
        <w:t xml:space="preserve"> </w:t>
      </w:r>
      <w:r>
        <w:rPr>
          <w:rFonts w:ascii="Arial" w:eastAsiaTheme="minorEastAsia" w:hAnsi="Arial" w:cs="Arial" w:hint="eastAsia"/>
          <w:color w:val="000000"/>
          <w:sz w:val="18"/>
          <w:szCs w:val="18"/>
        </w:rPr>
        <w:t xml:space="preserve">each of </w:t>
      </w:r>
      <w:r>
        <w:rPr>
          <w:rFonts w:ascii="Arial" w:hAnsi="Arial" w:cs="Arial"/>
          <w:color w:val="000000"/>
          <w:sz w:val="18"/>
          <w:szCs w:val="18"/>
        </w:rPr>
        <w:t xml:space="preserve">the past </w:t>
      </w:r>
      <w:r>
        <w:rPr>
          <w:rFonts w:ascii="Arial" w:eastAsiaTheme="minorEastAsia" w:hAnsi="Arial" w:cs="Arial" w:hint="eastAsia"/>
          <w:color w:val="000000"/>
          <w:sz w:val="18"/>
          <w:szCs w:val="18"/>
        </w:rPr>
        <w:t>two</w:t>
      </w:r>
      <w:r w:rsidRPr="003E2B73">
        <w:rPr>
          <w:rFonts w:ascii="Arial" w:hAnsi="Arial" w:cs="Arial"/>
          <w:color w:val="000000"/>
          <w:sz w:val="18"/>
          <w:szCs w:val="18"/>
        </w:rPr>
        <w:t xml:space="preserve"> fiscal years</w:t>
      </w:r>
      <w:r w:rsidRPr="00590D36">
        <w:rPr>
          <w:rFonts w:ascii="Arial" w:hAnsi="Arial" w:cs="Arial" w:hint="cs"/>
          <w:color w:val="000000"/>
          <w:sz w:val="18"/>
          <w:szCs w:val="18"/>
        </w:rPr>
        <w:t>—</w:t>
      </w:r>
      <w:r>
        <w:rPr>
          <w:rFonts w:ascii="Arial" w:hAnsi="Arial" w:cs="Arial"/>
          <w:color w:val="000000"/>
          <w:sz w:val="18"/>
          <w:szCs w:val="18"/>
        </w:rPr>
        <w:t>is one of the fastest growing inverter companies in the world. The announcement to raise additional capital was made with goals to sustain financial growth and further expand the company’s presence in new international markets.</w:t>
      </w:r>
    </w:p>
    <w:p w14:paraId="38038FCA" w14:textId="77777777" w:rsidR="00280D7D" w:rsidRDefault="00280D7D" w:rsidP="00280D7D">
      <w:pPr>
        <w:spacing w:line="360" w:lineRule="auto"/>
        <w:rPr>
          <w:rFonts w:ascii="Arial" w:eastAsiaTheme="minorEastAsia" w:hAnsi="Arial" w:cs="Arial"/>
          <w:color w:val="000000"/>
          <w:sz w:val="18"/>
          <w:szCs w:val="18"/>
        </w:rPr>
      </w:pPr>
      <w:r w:rsidRPr="00234841">
        <w:rPr>
          <w:rFonts w:ascii="Arial" w:hAnsi="Arial" w:cs="Arial"/>
          <w:color w:val="000000"/>
          <w:sz w:val="18"/>
          <w:szCs w:val="18"/>
        </w:rPr>
        <w:t xml:space="preserve">With </w:t>
      </w:r>
      <w:r>
        <w:rPr>
          <w:rFonts w:ascii="Arial" w:hAnsi="Arial" w:cs="Arial"/>
          <w:color w:val="000000"/>
          <w:sz w:val="18"/>
          <w:szCs w:val="18"/>
        </w:rPr>
        <w:t>a</w:t>
      </w:r>
      <w:r w:rsidRPr="00234841">
        <w:rPr>
          <w:rFonts w:ascii="Arial" w:hAnsi="Arial" w:cs="Arial"/>
          <w:color w:val="000000"/>
          <w:sz w:val="18"/>
          <w:szCs w:val="18"/>
        </w:rPr>
        <w:t xml:space="preserve"> 20</w:t>
      </w:r>
      <w:r>
        <w:rPr>
          <w:rFonts w:ascii="Arial" w:hAnsi="Arial" w:cs="Arial"/>
          <w:color w:val="000000"/>
          <w:sz w:val="18"/>
          <w:szCs w:val="18"/>
        </w:rPr>
        <w:t>-</w:t>
      </w:r>
      <w:r w:rsidRPr="00234841">
        <w:rPr>
          <w:rFonts w:ascii="Arial" w:hAnsi="Arial" w:cs="Arial"/>
          <w:color w:val="000000"/>
          <w:sz w:val="18"/>
          <w:szCs w:val="18"/>
        </w:rPr>
        <w:t xml:space="preserve">year </w:t>
      </w:r>
      <w:r>
        <w:rPr>
          <w:rFonts w:ascii="Arial" w:hAnsi="Arial" w:cs="Arial"/>
          <w:color w:val="000000"/>
          <w:sz w:val="18"/>
          <w:szCs w:val="18"/>
        </w:rPr>
        <w:t>track record of success</w:t>
      </w:r>
      <w:r w:rsidRPr="00234841">
        <w:rPr>
          <w:rFonts w:ascii="Arial" w:hAnsi="Arial" w:cs="Arial"/>
          <w:color w:val="000000"/>
          <w:sz w:val="18"/>
          <w:szCs w:val="18"/>
        </w:rPr>
        <w:t xml:space="preserve"> in</w:t>
      </w:r>
      <w:r>
        <w:rPr>
          <w:rFonts w:ascii="Arial" w:hAnsi="Arial" w:cs="Arial"/>
          <w:color w:val="000000"/>
          <w:sz w:val="18"/>
          <w:szCs w:val="18"/>
        </w:rPr>
        <w:t xml:space="preserve"> the</w:t>
      </w:r>
      <w:r w:rsidRPr="00234841">
        <w:rPr>
          <w:rFonts w:ascii="Arial" w:hAnsi="Arial" w:cs="Arial"/>
          <w:color w:val="000000"/>
          <w:sz w:val="18"/>
          <w:szCs w:val="18"/>
        </w:rPr>
        <w:t xml:space="preserve"> solar </w:t>
      </w:r>
      <w:r>
        <w:rPr>
          <w:rFonts w:ascii="Arial" w:hAnsi="Arial" w:cs="Arial"/>
          <w:color w:val="000000"/>
          <w:sz w:val="18"/>
          <w:szCs w:val="18"/>
        </w:rPr>
        <w:t>industry</w:t>
      </w:r>
      <w:r w:rsidRPr="00234841">
        <w:rPr>
          <w:rFonts w:ascii="Arial" w:hAnsi="Arial" w:cs="Arial"/>
          <w:color w:val="000000"/>
          <w:sz w:val="18"/>
          <w:szCs w:val="18"/>
        </w:rPr>
        <w:t>, Sungrow</w:t>
      </w:r>
      <w:r>
        <w:rPr>
          <w:rFonts w:ascii="Arial" w:hAnsi="Arial" w:cs="Arial"/>
          <w:color w:val="000000"/>
          <w:sz w:val="18"/>
          <w:szCs w:val="18"/>
        </w:rPr>
        <w:t xml:space="preserve"> has</w:t>
      </w:r>
      <w:r>
        <w:rPr>
          <w:rFonts w:ascii="Arial" w:eastAsiaTheme="minorEastAsia" w:hAnsi="Arial" w:cs="Arial" w:hint="eastAsia"/>
          <w:color w:val="000000"/>
          <w:sz w:val="18"/>
          <w:szCs w:val="18"/>
        </w:rPr>
        <w:t xml:space="preserve"> </w:t>
      </w:r>
      <w:r w:rsidRPr="00234841">
        <w:rPr>
          <w:rFonts w:ascii="Arial" w:hAnsi="Arial" w:cs="Arial"/>
          <w:color w:val="000000"/>
          <w:sz w:val="18"/>
          <w:szCs w:val="18"/>
        </w:rPr>
        <w:t>supplie</w:t>
      </w:r>
      <w:r>
        <w:rPr>
          <w:rFonts w:ascii="Arial" w:hAnsi="Arial" w:cs="Arial"/>
          <w:color w:val="000000"/>
          <w:sz w:val="18"/>
          <w:szCs w:val="18"/>
        </w:rPr>
        <w:t>d</w:t>
      </w:r>
      <w:r w:rsidRPr="00234841">
        <w:rPr>
          <w:rFonts w:ascii="Arial" w:hAnsi="Arial" w:cs="Arial"/>
          <w:color w:val="000000"/>
          <w:sz w:val="18"/>
          <w:szCs w:val="18"/>
        </w:rPr>
        <w:t xml:space="preserve"> state-of-the-art products and solutions for global customers</w:t>
      </w:r>
      <w:r>
        <w:rPr>
          <w:rFonts w:ascii="Arial" w:hAnsi="Arial" w:cs="Arial"/>
          <w:color w:val="000000"/>
          <w:sz w:val="18"/>
          <w:szCs w:val="18"/>
        </w:rPr>
        <w:t xml:space="preserve"> since the company’s founding in 1997</w:t>
      </w:r>
      <w:r w:rsidRPr="00234841">
        <w:rPr>
          <w:rFonts w:ascii="Arial" w:hAnsi="Arial" w:cs="Arial"/>
          <w:color w:val="000000"/>
          <w:sz w:val="18"/>
          <w:szCs w:val="18"/>
        </w:rPr>
        <w:t xml:space="preserve">. </w:t>
      </w:r>
      <w:r>
        <w:rPr>
          <w:rFonts w:ascii="Arial" w:hAnsi="Arial" w:cs="Arial"/>
          <w:color w:val="000000"/>
          <w:sz w:val="18"/>
          <w:szCs w:val="18"/>
        </w:rPr>
        <w:t>To date</w:t>
      </w:r>
      <w:r w:rsidRPr="00234841">
        <w:rPr>
          <w:rFonts w:ascii="Arial" w:hAnsi="Arial" w:cs="Arial"/>
          <w:color w:val="000000"/>
          <w:sz w:val="18"/>
          <w:szCs w:val="18"/>
        </w:rPr>
        <w:t>, over 26GW of</w:t>
      </w:r>
      <w:r>
        <w:rPr>
          <w:rFonts w:ascii="Arial" w:hAnsi="Arial" w:cs="Arial"/>
          <w:color w:val="000000"/>
          <w:sz w:val="18"/>
          <w:szCs w:val="18"/>
        </w:rPr>
        <w:t xml:space="preserve"> Sungrow’s</w:t>
      </w:r>
      <w:r w:rsidRPr="00234841">
        <w:rPr>
          <w:rFonts w:ascii="Arial" w:hAnsi="Arial" w:cs="Arial"/>
          <w:color w:val="000000"/>
          <w:sz w:val="18"/>
          <w:szCs w:val="18"/>
        </w:rPr>
        <w:t xml:space="preserve"> PV inverters have been installed </w:t>
      </w:r>
      <w:r>
        <w:rPr>
          <w:rFonts w:ascii="Arial" w:hAnsi="Arial" w:cs="Arial"/>
          <w:color w:val="000000"/>
          <w:sz w:val="18"/>
          <w:szCs w:val="18"/>
        </w:rPr>
        <w:t>worldwide</w:t>
      </w:r>
      <w:r w:rsidRPr="00234841">
        <w:rPr>
          <w:rFonts w:ascii="Arial" w:hAnsi="Arial" w:cs="Arial"/>
          <w:color w:val="000000"/>
          <w:sz w:val="18"/>
          <w:szCs w:val="18"/>
        </w:rPr>
        <w:t xml:space="preserve">. The </w:t>
      </w:r>
      <w:r>
        <w:rPr>
          <w:rFonts w:ascii="Arial" w:hAnsi="Arial" w:cs="Arial"/>
          <w:color w:val="000000"/>
          <w:sz w:val="18"/>
          <w:szCs w:val="18"/>
        </w:rPr>
        <w:t>trend is expected to continue as the company continues to grow its balance sheet as well as its global operations.</w:t>
      </w:r>
    </w:p>
    <w:p w14:paraId="4BA842C3" w14:textId="0BE792C3" w:rsidR="00280D7D" w:rsidRPr="00280D7D" w:rsidRDefault="00280D7D" w:rsidP="00280D7D">
      <w:pPr>
        <w:autoSpaceDE w:val="0"/>
        <w:autoSpaceDN w:val="0"/>
        <w:adjustRightInd w:val="0"/>
        <w:rPr>
          <w:rFonts w:eastAsiaTheme="minorEastAsia" w:cstheme="minorHAnsi"/>
          <w:b/>
          <w:sz w:val="20"/>
          <w:szCs w:val="20"/>
        </w:rPr>
      </w:pPr>
      <w:r w:rsidRPr="001E358B">
        <w:rPr>
          <w:rFonts w:cstheme="minorHAnsi"/>
          <w:b/>
          <w:sz w:val="20"/>
          <w:szCs w:val="20"/>
          <w:u w:val="single"/>
        </w:rPr>
        <w:t>About Sungrow</w:t>
      </w:r>
      <w:r>
        <w:rPr>
          <w:rFonts w:eastAsiaTheme="minorEastAsia" w:cstheme="minorHAnsi"/>
          <w:b/>
          <w:sz w:val="20"/>
          <w:szCs w:val="20"/>
        </w:rPr>
        <w:br/>
      </w:r>
      <w:r w:rsidRPr="001E358B">
        <w:rPr>
          <w:rFonts w:ascii="Arial" w:hAnsi="Arial" w:cs="Arial"/>
          <w:sz w:val="18"/>
          <w:szCs w:val="18"/>
          <w:lang w:val="de-DE"/>
        </w:rPr>
        <w:t>Sungrow is the world’s leading PV-in</w:t>
      </w:r>
      <w:r>
        <w:rPr>
          <w:rFonts w:ascii="Arial" w:hAnsi="Arial" w:cs="Arial"/>
          <w:sz w:val="18"/>
          <w:szCs w:val="18"/>
          <w:lang w:val="de-DE"/>
        </w:rPr>
        <w:t>verter manufacturer with over 2</w:t>
      </w:r>
      <w:r>
        <w:rPr>
          <w:rFonts w:ascii="Arial" w:eastAsiaTheme="minorEastAsia" w:hAnsi="Arial" w:cs="Arial" w:hint="eastAsia"/>
          <w:sz w:val="18"/>
          <w:szCs w:val="18"/>
          <w:lang w:val="de-DE"/>
        </w:rPr>
        <w:t>6</w:t>
      </w:r>
      <w:r w:rsidRPr="001E358B">
        <w:rPr>
          <w:rFonts w:ascii="Arial" w:hAnsi="Arial" w:cs="Arial"/>
          <w:sz w:val="18"/>
          <w:szCs w:val="18"/>
          <w:lang w:val="de-DE"/>
        </w:rPr>
        <w:t xml:space="preserve">GW installed globally. Founded in 1997 by the University Professor Renxian Cao, Sungrow is the global leader in research and development in solar inverters, with numerous patents and a broad product portfolio offering solutions for residential, commercial and industrial applications. With a 20-year track record of growth and success, Sungrow’s products are available in over 50 countries, and have maintained a market share of over 30% in China. In 2015, Sungrow successfully occupied a over 20% market share in Germany. </w:t>
      </w:r>
      <w:r>
        <w:rPr>
          <w:rFonts w:ascii="Arial" w:hAnsi="Arial" w:cs="Arial"/>
          <w:sz w:val="18"/>
          <w:szCs w:val="18"/>
          <w:lang w:val="de-DE"/>
        </w:rPr>
        <w:t xml:space="preserve">Sungrow topped the </w:t>
      </w:r>
      <w:r>
        <w:rPr>
          <w:rFonts w:ascii="Arial" w:eastAsiaTheme="minorEastAsia" w:hAnsi="Arial" w:cs="Arial" w:hint="eastAsia"/>
          <w:sz w:val="18"/>
          <w:szCs w:val="18"/>
          <w:lang w:val="de-DE"/>
        </w:rPr>
        <w:t>PV inverter industry</w:t>
      </w:r>
      <w:r>
        <w:rPr>
          <w:rFonts w:ascii="Arial" w:hAnsi="Arial" w:cs="Arial"/>
          <w:sz w:val="18"/>
          <w:szCs w:val="18"/>
          <w:lang w:val="de-DE"/>
        </w:rPr>
        <w:t xml:space="preserve"> with</w:t>
      </w:r>
      <w:r>
        <w:rPr>
          <w:rFonts w:ascii="Arial" w:eastAsiaTheme="minorEastAsia" w:hAnsi="Arial" w:cs="Arial" w:hint="eastAsia"/>
          <w:sz w:val="18"/>
          <w:szCs w:val="18"/>
          <w:lang w:val="de-DE"/>
        </w:rPr>
        <w:t xml:space="preserve"> </w:t>
      </w:r>
      <w:r w:rsidRPr="001E358B">
        <w:rPr>
          <w:rFonts w:ascii="Arial" w:hAnsi="Arial" w:cs="Arial"/>
          <w:sz w:val="18"/>
          <w:szCs w:val="18"/>
          <w:lang w:val="de-DE"/>
        </w:rPr>
        <w:t>shipments</w:t>
      </w:r>
      <w:r>
        <w:rPr>
          <w:rFonts w:ascii="Arial" w:eastAsiaTheme="minorEastAsia" w:hAnsi="Arial" w:cs="Arial" w:hint="eastAsia"/>
          <w:sz w:val="18"/>
          <w:szCs w:val="18"/>
          <w:lang w:val="de-DE"/>
        </w:rPr>
        <w:t xml:space="preserve"> </w:t>
      </w:r>
      <w:r w:rsidRPr="001E358B">
        <w:rPr>
          <w:rFonts w:ascii="Arial" w:hAnsi="Arial" w:cs="Arial" w:hint="eastAsia"/>
          <w:sz w:val="18"/>
          <w:szCs w:val="18"/>
          <w:lang w:val="de-DE"/>
        </w:rPr>
        <w:t>totaling</w:t>
      </w:r>
      <w:r w:rsidRPr="001E358B">
        <w:rPr>
          <w:rFonts w:ascii="Arial" w:hAnsi="Arial" w:cs="Arial"/>
          <w:sz w:val="18"/>
          <w:szCs w:val="18"/>
          <w:lang w:val="de-DE"/>
        </w:rPr>
        <w:t xml:space="preserve"> 8.9GW</w:t>
      </w:r>
      <w:r>
        <w:rPr>
          <w:rFonts w:ascii="Arial" w:eastAsiaTheme="minorEastAsia" w:hAnsi="Arial" w:cs="Arial" w:hint="eastAsia"/>
          <w:sz w:val="18"/>
          <w:szCs w:val="18"/>
          <w:lang w:val="de-DE"/>
        </w:rPr>
        <w:t xml:space="preserve"> in 2015</w:t>
      </w:r>
      <w:r w:rsidRPr="001E358B">
        <w:rPr>
          <w:rFonts w:ascii="Arial" w:hAnsi="Arial" w:cs="Arial"/>
          <w:sz w:val="18"/>
          <w:szCs w:val="18"/>
          <w:lang w:val="de-DE"/>
        </w:rPr>
        <w:t xml:space="preserve">. Learn more about Sungrow by visiting </w:t>
      </w:r>
      <w:hyperlink r:id="rId6" w:history="1">
        <w:r w:rsidRPr="001E358B">
          <w:rPr>
            <w:rFonts w:ascii="Arial" w:hAnsi="Arial" w:cs="Arial"/>
            <w:color w:val="0000FF" w:themeColor="hyperlink"/>
            <w:sz w:val="18"/>
            <w:u w:val="single"/>
            <w:lang w:val="de-DE"/>
          </w:rPr>
          <w:t>http://en.sungrowpower.com/</w:t>
        </w:r>
      </w:hyperlink>
    </w:p>
    <w:p w14:paraId="2050AA50" w14:textId="77777777" w:rsidR="004E25AC" w:rsidRPr="00EF42B8" w:rsidRDefault="004E25AC" w:rsidP="004E25AC">
      <w:pPr>
        <w:rPr>
          <w:rFonts w:ascii="Arial" w:hAnsi="Arial" w:cs="Arial"/>
          <w:sz w:val="18"/>
          <w:szCs w:val="18"/>
        </w:rPr>
      </w:pPr>
    </w:p>
    <w:p w14:paraId="66A9BE78" w14:textId="77777777" w:rsidR="00C361E3" w:rsidRPr="00AC5166" w:rsidRDefault="00C361E3" w:rsidP="004E25AC">
      <w:pPr>
        <w:spacing w:after="0" w:line="240" w:lineRule="auto"/>
        <w:jc w:val="center"/>
        <w:rPr>
          <w:rFonts w:ascii="Arial" w:hAnsi="Arial" w:cs="Arial"/>
          <w:sz w:val="20"/>
          <w:szCs w:val="20"/>
        </w:rPr>
      </w:pPr>
    </w:p>
    <w:sectPr w:rsidR="00C361E3" w:rsidRPr="00AC516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34D6C6" w14:textId="77777777" w:rsidR="00DE56FB" w:rsidRDefault="00DE56FB" w:rsidP="00000562">
      <w:pPr>
        <w:spacing w:after="0" w:line="240" w:lineRule="auto"/>
      </w:pPr>
      <w:r>
        <w:separator/>
      </w:r>
    </w:p>
  </w:endnote>
  <w:endnote w:type="continuationSeparator" w:id="0">
    <w:p w14:paraId="2549AF76" w14:textId="77777777" w:rsidR="00DE56FB" w:rsidRDefault="00DE56FB" w:rsidP="00000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14E78B" w14:textId="77777777" w:rsidR="00DE56FB" w:rsidRDefault="00DE56FB" w:rsidP="00000562">
      <w:pPr>
        <w:spacing w:after="0" w:line="240" w:lineRule="auto"/>
      </w:pPr>
      <w:r>
        <w:separator/>
      </w:r>
    </w:p>
  </w:footnote>
  <w:footnote w:type="continuationSeparator" w:id="0">
    <w:p w14:paraId="59442AC3" w14:textId="77777777" w:rsidR="00DE56FB" w:rsidRDefault="00DE56FB" w:rsidP="0000056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3FF73" w14:textId="77777777" w:rsidR="00563F00" w:rsidRPr="00000562" w:rsidRDefault="00563F00" w:rsidP="00000562">
    <w:pPr>
      <w:rPr>
        <w:rFonts w:ascii="Arial" w:hAnsi="Arial" w:cs="Arial"/>
        <w:i/>
        <w:color w:val="FF0000"/>
        <w:sz w:val="20"/>
        <w:szCs w:val="20"/>
      </w:rPr>
    </w:pPr>
    <w:r w:rsidRPr="00000562">
      <w:rPr>
        <w:rFonts w:ascii="Arial" w:hAnsi="Arial" w:cs="Arial"/>
        <w:i/>
        <w:color w:val="FF0000"/>
        <w:sz w:val="20"/>
        <w:szCs w:val="20"/>
      </w:rPr>
      <w:t>For immediate release</w:t>
    </w:r>
    <w:r>
      <w:rPr>
        <w:noProof/>
        <w:lang w:eastAsia="en-GB"/>
      </w:rPr>
      <w:ptab w:relativeTo="margin" w:alignment="right" w:leader="none"/>
    </w:r>
    <w:r>
      <w:rPr>
        <w:noProof/>
        <w:lang w:val="en-US"/>
      </w:rPr>
      <w:drawing>
        <wp:inline distT="0" distB="0" distL="0" distR="0" wp14:anchorId="69568ED0" wp14:editId="38B1B69A">
          <wp:extent cx="1495425" cy="647700"/>
          <wp:effectExtent l="0" t="0" r="9525" b="0"/>
          <wp:docPr id="2" name="Picture 2" descr="Image result for sungrow power suppl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ungrow power suppl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inline>
      </w:drawing>
    </w:r>
  </w:p>
  <w:p w14:paraId="100BC189" w14:textId="77777777" w:rsidR="00563F00" w:rsidRDefault="00563F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15B"/>
    <w:rsid w:val="00000562"/>
    <w:rsid w:val="0001779D"/>
    <w:rsid w:val="00033E38"/>
    <w:rsid w:val="00042F85"/>
    <w:rsid w:val="000738E3"/>
    <w:rsid w:val="00076F4A"/>
    <w:rsid w:val="00080848"/>
    <w:rsid w:val="00087C9A"/>
    <w:rsid w:val="000A39E1"/>
    <w:rsid w:val="001B63A2"/>
    <w:rsid w:val="001D7924"/>
    <w:rsid w:val="00206C6A"/>
    <w:rsid w:val="0021594C"/>
    <w:rsid w:val="002740ED"/>
    <w:rsid w:val="00280D7D"/>
    <w:rsid w:val="002C4F44"/>
    <w:rsid w:val="00327F33"/>
    <w:rsid w:val="00345D63"/>
    <w:rsid w:val="00352C88"/>
    <w:rsid w:val="00353E1A"/>
    <w:rsid w:val="00374B04"/>
    <w:rsid w:val="003D29EF"/>
    <w:rsid w:val="00464606"/>
    <w:rsid w:val="004B5F53"/>
    <w:rsid w:val="004E25AC"/>
    <w:rsid w:val="00563F00"/>
    <w:rsid w:val="005A686A"/>
    <w:rsid w:val="005C6882"/>
    <w:rsid w:val="005E5417"/>
    <w:rsid w:val="00664D98"/>
    <w:rsid w:val="006724D8"/>
    <w:rsid w:val="00693CCC"/>
    <w:rsid w:val="006E3301"/>
    <w:rsid w:val="006E49AD"/>
    <w:rsid w:val="006E4C96"/>
    <w:rsid w:val="0070215B"/>
    <w:rsid w:val="0071605A"/>
    <w:rsid w:val="00731FEE"/>
    <w:rsid w:val="00776D58"/>
    <w:rsid w:val="007B20E5"/>
    <w:rsid w:val="007F1933"/>
    <w:rsid w:val="00891613"/>
    <w:rsid w:val="008A6D0D"/>
    <w:rsid w:val="008F363D"/>
    <w:rsid w:val="00982762"/>
    <w:rsid w:val="009A4867"/>
    <w:rsid w:val="009D3880"/>
    <w:rsid w:val="00A9268D"/>
    <w:rsid w:val="00AC5166"/>
    <w:rsid w:val="00AE073D"/>
    <w:rsid w:val="00B141D4"/>
    <w:rsid w:val="00B337CB"/>
    <w:rsid w:val="00B40F5E"/>
    <w:rsid w:val="00C25E34"/>
    <w:rsid w:val="00C34055"/>
    <w:rsid w:val="00C361E3"/>
    <w:rsid w:val="00C82BDC"/>
    <w:rsid w:val="00CD7E42"/>
    <w:rsid w:val="00CE0FA4"/>
    <w:rsid w:val="00D179F0"/>
    <w:rsid w:val="00D3542D"/>
    <w:rsid w:val="00D45B98"/>
    <w:rsid w:val="00D767E4"/>
    <w:rsid w:val="00DC1222"/>
    <w:rsid w:val="00DE56FB"/>
    <w:rsid w:val="00EB1E21"/>
    <w:rsid w:val="00ED00D7"/>
    <w:rsid w:val="00F0359B"/>
    <w:rsid w:val="00F278CF"/>
    <w:rsid w:val="00F473A6"/>
    <w:rsid w:val="00FB50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B3C20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74B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0215B"/>
    <w:rPr>
      <w:color w:val="0000FF"/>
      <w:u w:val="single"/>
    </w:rPr>
  </w:style>
  <w:style w:type="paragraph" w:styleId="Header">
    <w:name w:val="header"/>
    <w:basedOn w:val="Normal"/>
    <w:link w:val="HeaderChar"/>
    <w:uiPriority w:val="99"/>
    <w:unhideWhenUsed/>
    <w:rsid w:val="00000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562"/>
  </w:style>
  <w:style w:type="paragraph" w:styleId="Footer">
    <w:name w:val="footer"/>
    <w:basedOn w:val="Normal"/>
    <w:link w:val="FooterChar"/>
    <w:uiPriority w:val="99"/>
    <w:unhideWhenUsed/>
    <w:rsid w:val="00000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562"/>
  </w:style>
  <w:style w:type="paragraph" w:styleId="BalloonText">
    <w:name w:val="Balloon Text"/>
    <w:basedOn w:val="Normal"/>
    <w:link w:val="BalloonTextChar"/>
    <w:uiPriority w:val="99"/>
    <w:semiHidden/>
    <w:unhideWhenUsed/>
    <w:rsid w:val="00F03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59B"/>
    <w:rPr>
      <w:rFonts w:ascii="Tahoma" w:hAnsi="Tahoma" w:cs="Tahoma"/>
      <w:sz w:val="16"/>
      <w:szCs w:val="16"/>
    </w:rPr>
  </w:style>
  <w:style w:type="character" w:styleId="CommentReference">
    <w:name w:val="annotation reference"/>
    <w:basedOn w:val="DefaultParagraphFont"/>
    <w:uiPriority w:val="99"/>
    <w:semiHidden/>
    <w:unhideWhenUsed/>
    <w:rsid w:val="0021594C"/>
    <w:rPr>
      <w:sz w:val="16"/>
      <w:szCs w:val="16"/>
    </w:rPr>
  </w:style>
  <w:style w:type="paragraph" w:styleId="CommentText">
    <w:name w:val="annotation text"/>
    <w:basedOn w:val="Normal"/>
    <w:link w:val="CommentTextChar"/>
    <w:uiPriority w:val="99"/>
    <w:semiHidden/>
    <w:unhideWhenUsed/>
    <w:rsid w:val="0021594C"/>
    <w:pPr>
      <w:widowControl w:val="0"/>
      <w:spacing w:after="0" w:line="240" w:lineRule="auto"/>
      <w:jc w:val="both"/>
    </w:pPr>
    <w:rPr>
      <w:rFonts w:eastAsiaTheme="minorEastAsia"/>
      <w:kern w:val="2"/>
      <w:sz w:val="20"/>
      <w:szCs w:val="20"/>
      <w:lang w:val="en-US" w:eastAsia="zh-CN"/>
    </w:rPr>
  </w:style>
  <w:style w:type="character" w:customStyle="1" w:styleId="CommentTextChar">
    <w:name w:val="Comment Text Char"/>
    <w:basedOn w:val="DefaultParagraphFont"/>
    <w:link w:val="CommentText"/>
    <w:uiPriority w:val="99"/>
    <w:semiHidden/>
    <w:rsid w:val="0021594C"/>
    <w:rPr>
      <w:rFonts w:eastAsiaTheme="minorEastAsia"/>
      <w:kern w:val="2"/>
      <w:sz w:val="20"/>
      <w:szCs w:val="20"/>
      <w:lang w:val="en-US" w:eastAsia="zh-CN"/>
    </w:rPr>
  </w:style>
  <w:style w:type="paragraph" w:styleId="NoSpacing">
    <w:name w:val="No Spacing"/>
    <w:uiPriority w:val="1"/>
    <w:qFormat/>
    <w:rsid w:val="00C361E3"/>
    <w:pPr>
      <w:spacing w:after="0" w:line="240" w:lineRule="auto"/>
    </w:pPr>
  </w:style>
  <w:style w:type="paragraph" w:styleId="NormalWeb">
    <w:name w:val="Normal (Web)"/>
    <w:basedOn w:val="Normal"/>
    <w:uiPriority w:val="99"/>
    <w:unhideWhenUsed/>
    <w:rsid w:val="001D7924"/>
    <w:pPr>
      <w:spacing w:after="225" w:line="240" w:lineRule="auto"/>
    </w:pPr>
    <w:rPr>
      <w:rFonts w:ascii="Times New Roman" w:eastAsia="Times New Roman" w:hAnsi="Times New Roman" w:cs="Times New Roman"/>
      <w:sz w:val="24"/>
      <w:szCs w:val="24"/>
      <w:lang w:val="de-DE" w:eastAsia="de-DE"/>
    </w:rPr>
  </w:style>
  <w:style w:type="character" w:styleId="Strong">
    <w:name w:val="Strong"/>
    <w:basedOn w:val="DefaultParagraphFont"/>
    <w:uiPriority w:val="22"/>
    <w:qFormat/>
    <w:rsid w:val="001D7924"/>
    <w:rPr>
      <w:b/>
      <w:bCs/>
      <w:color w:val="000000"/>
    </w:rPr>
  </w:style>
  <w:style w:type="character" w:customStyle="1" w:styleId="apple-converted-space">
    <w:name w:val="apple-converted-space"/>
    <w:basedOn w:val="DefaultParagraphFont"/>
    <w:rsid w:val="002C4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696138">
      <w:bodyDiv w:val="1"/>
      <w:marLeft w:val="0"/>
      <w:marRight w:val="0"/>
      <w:marTop w:val="0"/>
      <w:marBottom w:val="0"/>
      <w:divBdr>
        <w:top w:val="none" w:sz="0" w:space="0" w:color="auto"/>
        <w:left w:val="none" w:sz="0" w:space="0" w:color="auto"/>
        <w:bottom w:val="none" w:sz="0" w:space="0" w:color="auto"/>
        <w:right w:val="none" w:sz="0" w:space="0" w:color="auto"/>
      </w:divBdr>
      <w:divsChild>
        <w:div w:id="556087033">
          <w:marLeft w:val="0"/>
          <w:marRight w:val="0"/>
          <w:marTop w:val="0"/>
          <w:marBottom w:val="0"/>
          <w:divBdr>
            <w:top w:val="none" w:sz="0" w:space="0" w:color="auto"/>
            <w:left w:val="none" w:sz="0" w:space="0" w:color="auto"/>
            <w:bottom w:val="none" w:sz="0" w:space="0" w:color="auto"/>
            <w:right w:val="none" w:sz="0" w:space="0" w:color="auto"/>
          </w:divBdr>
          <w:divsChild>
            <w:div w:id="66802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287531">
      <w:bodyDiv w:val="1"/>
      <w:marLeft w:val="0"/>
      <w:marRight w:val="0"/>
      <w:marTop w:val="0"/>
      <w:marBottom w:val="0"/>
      <w:divBdr>
        <w:top w:val="none" w:sz="0" w:space="0" w:color="auto"/>
        <w:left w:val="none" w:sz="0" w:space="0" w:color="auto"/>
        <w:bottom w:val="none" w:sz="0" w:space="0" w:color="auto"/>
        <w:right w:val="none" w:sz="0" w:space="0" w:color="auto"/>
      </w:divBdr>
    </w:div>
    <w:div w:id="1581400877">
      <w:bodyDiv w:val="1"/>
      <w:marLeft w:val="0"/>
      <w:marRight w:val="0"/>
      <w:marTop w:val="0"/>
      <w:marBottom w:val="0"/>
      <w:divBdr>
        <w:top w:val="none" w:sz="0" w:space="0" w:color="auto"/>
        <w:left w:val="none" w:sz="0" w:space="0" w:color="auto"/>
        <w:bottom w:val="none" w:sz="0" w:space="0" w:color="auto"/>
        <w:right w:val="none" w:sz="0" w:space="0" w:color="auto"/>
      </w:divBdr>
      <w:divsChild>
        <w:div w:id="577441394">
          <w:marLeft w:val="200"/>
          <w:marRight w:val="0"/>
          <w:marTop w:val="0"/>
          <w:marBottom w:val="0"/>
          <w:divBdr>
            <w:top w:val="none" w:sz="0" w:space="0" w:color="auto"/>
            <w:left w:val="none" w:sz="0" w:space="0" w:color="auto"/>
            <w:bottom w:val="none" w:sz="0" w:space="0" w:color="auto"/>
            <w:right w:val="none" w:sz="0" w:space="0" w:color="auto"/>
          </w:divBdr>
        </w:div>
        <w:div w:id="1409303913">
          <w:marLeft w:val="200"/>
          <w:marRight w:val="0"/>
          <w:marTop w:val="0"/>
          <w:marBottom w:val="0"/>
          <w:divBdr>
            <w:top w:val="none" w:sz="0" w:space="0" w:color="auto"/>
            <w:left w:val="none" w:sz="0" w:space="0" w:color="auto"/>
            <w:bottom w:val="none" w:sz="0" w:space="0" w:color="auto"/>
            <w:right w:val="none" w:sz="0" w:space="0" w:color="auto"/>
          </w:divBdr>
          <w:divsChild>
            <w:div w:id="805975870">
              <w:marLeft w:val="0"/>
              <w:marRight w:val="0"/>
              <w:marTop w:val="319"/>
              <w:marBottom w:val="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en.sungrowpower.com/" TargetMode="Externa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379</Words>
  <Characters>2164</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Priscilla Moroke</cp:lastModifiedBy>
  <cp:revision>2</cp:revision>
  <dcterms:created xsi:type="dcterms:W3CDTF">2016-08-01T08:56:00Z</dcterms:created>
  <dcterms:modified xsi:type="dcterms:W3CDTF">2016-08-01T08:56:00Z</dcterms:modified>
</cp:coreProperties>
</file>